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0911" w14:textId="77777777" w:rsidR="00987682" w:rsidRPr="007A6CCD" w:rsidRDefault="003063D6" w:rsidP="007A6CCD">
      <w:pPr>
        <w:spacing w:after="0"/>
        <w:ind w:left="5670"/>
        <w:rPr>
          <w:rFonts w:ascii="Times New Roman" w:eastAsia="Times New Roman" w:hAnsi="Times New Roman" w:cs="Times New Roman"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sz w:val="24"/>
          <w:szCs w:val="24"/>
        </w:rPr>
        <w:t>Додаток 2</w:t>
      </w:r>
    </w:p>
    <w:p w14:paraId="1CAA9D88" w14:textId="04239963" w:rsidR="00987682" w:rsidRPr="007A6CCD" w:rsidRDefault="003063D6" w:rsidP="007A6CCD">
      <w:pPr>
        <w:spacing w:after="0"/>
        <w:ind w:left="567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A6CCD">
        <w:rPr>
          <w:rFonts w:ascii="Times New Roman" w:eastAsia="Times New Roman" w:hAnsi="Times New Roman" w:cs="Times New Roman"/>
          <w:sz w:val="24"/>
          <w:szCs w:val="24"/>
        </w:rPr>
        <w:t>до Порядку</w:t>
      </w:r>
      <w:r w:rsidR="007A6CC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7A6CCD" w:rsidRPr="007A6CCD">
        <w:rPr>
          <w:rFonts w:ascii="Times New Roman" w:eastAsia="Times New Roman" w:hAnsi="Times New Roman" w:cs="Times New Roman"/>
          <w:sz w:val="24"/>
          <w:szCs w:val="24"/>
        </w:rPr>
        <w:t>моніторингу та аналізу стану опрацювання міжрегіональними центрами з надання безоплатної правничої допомоги актів надання безоплатної вторинної правничої допомоги</w:t>
      </w:r>
    </w:p>
    <w:p w14:paraId="743BFA32" w14:textId="77777777" w:rsidR="007E0363" w:rsidRDefault="007E0363" w:rsidP="007E036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86A2167" w14:textId="77777777" w:rsidR="00987682" w:rsidRPr="007A6CCD" w:rsidRDefault="003063D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b/>
          <w:bCs/>
          <w:sz w:val="24"/>
          <w:szCs w:val="24"/>
        </w:rPr>
        <w:t>Чек-лист контролю правильності обчислення винагороди адвокатів</w:t>
      </w:r>
    </w:p>
    <w:p w14:paraId="7A9052B1" w14:textId="77777777" w:rsidR="00987682" w:rsidRPr="007A6CCD" w:rsidRDefault="003063D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sz w:val="24"/>
          <w:szCs w:val="24"/>
        </w:rPr>
        <w:t>I. Таблиця перевірки</w:t>
      </w:r>
    </w:p>
    <w:tbl>
      <w:tblPr>
        <w:tblStyle w:val="aff0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2378"/>
        <w:gridCol w:w="2552"/>
        <w:gridCol w:w="1417"/>
        <w:gridCol w:w="1843"/>
        <w:gridCol w:w="2551"/>
      </w:tblGrid>
      <w:tr w:rsidR="00987682" w:rsidRPr="007A6CCD" w14:paraId="4C9E700E" w14:textId="77777777">
        <w:tc>
          <w:tcPr>
            <w:tcW w:w="457" w:type="dxa"/>
          </w:tcPr>
          <w:p w14:paraId="0DC14E2F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78" w:type="dxa"/>
          </w:tcPr>
          <w:p w14:paraId="4BE11A8B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Критерій перевірки</w:t>
            </w:r>
          </w:p>
        </w:tc>
        <w:tc>
          <w:tcPr>
            <w:tcW w:w="2552" w:type="dxa"/>
          </w:tcPr>
          <w:p w14:paraId="15C42C8D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Що перевіряється</w:t>
            </w:r>
          </w:p>
        </w:tc>
        <w:tc>
          <w:tcPr>
            <w:tcW w:w="1417" w:type="dxa"/>
          </w:tcPr>
          <w:p w14:paraId="21EDDFD6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Відповідає</w:t>
            </w:r>
          </w:p>
        </w:tc>
        <w:tc>
          <w:tcPr>
            <w:tcW w:w="1843" w:type="dxa"/>
          </w:tcPr>
          <w:p w14:paraId="3DB0DA93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 відповідає</w:t>
            </w:r>
          </w:p>
        </w:tc>
        <w:tc>
          <w:tcPr>
            <w:tcW w:w="2551" w:type="dxa"/>
          </w:tcPr>
          <w:p w14:paraId="44BE1E55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Пояснення/на що звернути увагу</w:t>
            </w:r>
          </w:p>
        </w:tc>
      </w:tr>
      <w:tr w:rsidR="00987682" w:rsidRPr="007A6CCD" w14:paraId="2B097011" w14:textId="77777777">
        <w:tc>
          <w:tcPr>
            <w:tcW w:w="457" w:type="dxa"/>
          </w:tcPr>
          <w:p w14:paraId="753DA65E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14:paraId="592469D2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Арифметична правильність</w:t>
            </w:r>
          </w:p>
        </w:tc>
        <w:tc>
          <w:tcPr>
            <w:tcW w:w="2552" w:type="dxa"/>
          </w:tcPr>
          <w:p w14:paraId="64FC78ED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правильність застосування формули </w:t>
            </w:r>
          </w:p>
          <w:p w14:paraId="44B7FB8E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3A6028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правильність базової ставки </w:t>
            </w:r>
          </w:p>
          <w:p w14:paraId="1787DC1D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14087F" w14:textId="78AF5B9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правильність коефіцієнтів</w:t>
            </w:r>
          </w:p>
        </w:tc>
        <w:tc>
          <w:tcPr>
            <w:tcW w:w="1417" w:type="dxa"/>
            <w:vAlign w:val="center"/>
          </w:tcPr>
          <w:p w14:paraId="6596C04F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"/>
                <w:id w:val="-197855581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635C7E2C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15844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41354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64347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3"/>
                <w:id w:val="257034509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6CAFB263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B77A0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4"/>
                <w:id w:val="1270143887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6F09121C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8A5F8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40737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5A6F2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23CDA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52DBF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B98B4DB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5"/>
                <w:id w:val="87585661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1C5EFF71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A4947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9D741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37D67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6"/>
                <w:id w:val="-234883931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350EB960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A735E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7"/>
                <w:id w:val="-1251865947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0D588850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20A28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C50A2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E4839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55F5E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85684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41BD6BA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Перевіряється відповідність розрахунків Методики: правильність множення, застосування ставки, коректність підсумкового розрахунку. Арифметичні помилки — найпоширеніший технічний ризик.</w:t>
            </w:r>
          </w:p>
        </w:tc>
      </w:tr>
      <w:tr w:rsidR="00987682" w:rsidRPr="007A6CCD" w14:paraId="30058DC5" w14:textId="77777777">
        <w:tc>
          <w:tcPr>
            <w:tcW w:w="457" w:type="dxa"/>
          </w:tcPr>
          <w:p w14:paraId="241D157E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14:paraId="0ACE4A09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 виду правничої допомоги</w:t>
            </w:r>
          </w:p>
        </w:tc>
        <w:tc>
          <w:tcPr>
            <w:tcW w:w="2552" w:type="dxa"/>
            <w:vAlign w:val="center"/>
          </w:tcPr>
          <w:p w14:paraId="26FAE4C8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 матеріалам справи</w:t>
            </w:r>
          </w:p>
          <w:p w14:paraId="02279843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090061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відсутність підміни категорії </w:t>
            </w:r>
          </w:p>
          <w:p w14:paraId="2860725E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04490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 фактичним діям адвоката</w:t>
            </w:r>
          </w:p>
          <w:p w14:paraId="6622F591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33B0C9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120B8C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51F5B8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8"/>
                <w:id w:val="-99464212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3E4C50FC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BB5C8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9"/>
                <w:id w:val="308497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72097226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D1A5B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90D52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0CACB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0BCF1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0"/>
                <w:id w:val="-739147644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0FAD324F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FC27E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4FB52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AA3E53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1"/>
                <w:id w:val="-127211582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3A25D636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97AA36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2"/>
                <w:id w:val="513645604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4D69B63A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80BC63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C822B1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7BC89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8C49C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3"/>
                <w:id w:val="1605638189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29DB83A4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55604DD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Порівнюється зазначений у акті вид допомоги з процесуальними документами. Не допускається зазначення більш оплачуваного виду допомоги без фактичних підстав.</w:t>
            </w:r>
          </w:p>
        </w:tc>
      </w:tr>
      <w:tr w:rsidR="00987682" w:rsidRPr="007A6CCD" w14:paraId="7EF3CB5F" w14:textId="77777777">
        <w:tc>
          <w:tcPr>
            <w:tcW w:w="457" w:type="dxa"/>
          </w:tcPr>
          <w:p w14:paraId="601C7F3A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8" w:type="dxa"/>
          </w:tcPr>
          <w:p w14:paraId="4049CAE8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Обґрунтованість застосування коефіцієнтів</w:t>
            </w:r>
          </w:p>
        </w:tc>
        <w:tc>
          <w:tcPr>
            <w:tcW w:w="2552" w:type="dxa"/>
          </w:tcPr>
          <w:p w14:paraId="69FA0344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документального підтвердження</w:t>
            </w:r>
          </w:p>
          <w:p w14:paraId="375C3181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E3E79F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відповідність підстав Методики</w:t>
            </w:r>
          </w:p>
        </w:tc>
        <w:tc>
          <w:tcPr>
            <w:tcW w:w="1417" w:type="dxa"/>
          </w:tcPr>
          <w:p w14:paraId="50399CB9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4"/>
                <w:id w:val="1998674375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4D3E3681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DCFC6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8C1C3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E1FB9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5"/>
                <w:id w:val="175555359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4F63B36E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757C8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6"/>
                <w:id w:val="1012853765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4C1F5ECF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50C27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03606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52F57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7"/>
                <w:id w:val="-1313745907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2F45E80F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7E45DEB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Коефіцієнти складності повинні бути прямо передбачені Методикою та підтверджені документально (обсяг матеріалів, кількість епізодів, тривалість процесу тощо). За потреби формується запит адвокату.</w:t>
            </w:r>
          </w:p>
        </w:tc>
      </w:tr>
      <w:tr w:rsidR="00987682" w:rsidRPr="007A6CCD" w14:paraId="6A7B7A7F" w14:textId="77777777">
        <w:tc>
          <w:tcPr>
            <w:tcW w:w="457" w:type="dxa"/>
          </w:tcPr>
          <w:p w14:paraId="69CDF4E5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8" w:type="dxa"/>
          </w:tcPr>
          <w:p w14:paraId="1D38D8EC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Обсяг часу</w:t>
            </w:r>
          </w:p>
        </w:tc>
        <w:tc>
          <w:tcPr>
            <w:tcW w:w="2552" w:type="dxa"/>
            <w:vAlign w:val="center"/>
          </w:tcPr>
          <w:p w14:paraId="28E6A682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відповідність типовим нормативам </w:t>
            </w:r>
          </w:p>
          <w:p w14:paraId="338E9BB9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F8E187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відсутність перевищення більш ніж у 1,5 </w:t>
            </w:r>
            <w:proofErr w:type="spellStart"/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пояснення</w:t>
            </w:r>
          </w:p>
        </w:tc>
        <w:tc>
          <w:tcPr>
            <w:tcW w:w="1417" w:type="dxa"/>
          </w:tcPr>
          <w:p w14:paraId="66F098EF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8"/>
                <w:id w:val="928467998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3727FF10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70DFE2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99720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9"/>
                <w:id w:val="-1911323583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27377F0B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711895D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0"/>
                <w:id w:val="-421287090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16CF6963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AC213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414D6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1"/>
                <w:id w:val="1484272984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16604FF4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7E80103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Перевищення типової тривалості більш ніж у 1,5 </w:t>
            </w:r>
            <w:proofErr w:type="spellStart"/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раза</w:t>
            </w:r>
            <w:proofErr w:type="spellEnd"/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без </w:t>
            </w: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обґрунтування є індикатором завищення. Пояснення повинно бути письмовим та підтвердженим матеріалами справи.</w:t>
            </w:r>
          </w:p>
        </w:tc>
      </w:tr>
      <w:tr w:rsidR="00987682" w:rsidRPr="007A6CCD" w14:paraId="3314F3F4" w14:textId="77777777">
        <w:tc>
          <w:tcPr>
            <w:tcW w:w="457" w:type="dxa"/>
          </w:tcPr>
          <w:p w14:paraId="1E175300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78" w:type="dxa"/>
          </w:tcPr>
          <w:p w14:paraId="7FD7D9F3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Порівняльний аналіз вартості</w:t>
            </w:r>
          </w:p>
        </w:tc>
        <w:tc>
          <w:tcPr>
            <w:tcW w:w="2552" w:type="dxa"/>
          </w:tcPr>
          <w:p w14:paraId="16D12CE6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перевищує середній рівень по категорії більше ніж на 30% </w:t>
            </w:r>
          </w:p>
          <w:p w14:paraId="71B44380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E7E70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у разі перевищення — наявне обґрунтування</w:t>
            </w:r>
          </w:p>
        </w:tc>
        <w:tc>
          <w:tcPr>
            <w:tcW w:w="1417" w:type="dxa"/>
          </w:tcPr>
          <w:p w14:paraId="149548C3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2"/>
                <w:id w:val="1807627602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3E150B8D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8E83B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1E843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84176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3"/>
                <w:id w:val="-72307688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0DD40DBC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1F8BD0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4"/>
                <w:id w:val="328656311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24436BFA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921F40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5B465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62783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5"/>
                <w:id w:val="-938196395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5D46957E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7E1F8DB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Порівнюється із середньою вартістю аналогічних справ у центрі/регіоні. Перевищення понад 30% — індикатор ризику та підстава для поглибленого аналізу.</w:t>
            </w:r>
          </w:p>
        </w:tc>
      </w:tr>
      <w:tr w:rsidR="00987682" w:rsidRPr="007A6CCD" w14:paraId="1BE2E5CB" w14:textId="77777777">
        <w:tc>
          <w:tcPr>
            <w:tcW w:w="457" w:type="dxa"/>
          </w:tcPr>
          <w:p w14:paraId="45DF9E00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8" w:type="dxa"/>
          </w:tcPr>
          <w:p w14:paraId="2EBD2EFB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Документальне підтвердження</w:t>
            </w:r>
          </w:p>
        </w:tc>
        <w:tc>
          <w:tcPr>
            <w:tcW w:w="2552" w:type="dxa"/>
            <w:vAlign w:val="center"/>
          </w:tcPr>
          <w:p w14:paraId="2AC029E1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Ордер, протоколи, повістки/інші процесуальні документи</w:t>
            </w:r>
          </w:p>
          <w:p w14:paraId="29135649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1F52D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підписаний акт</w:t>
            </w:r>
          </w:p>
          <w:p w14:paraId="2887A434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32518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A3117D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E2C757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6"/>
                <w:id w:val="712602866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52065A20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C71D6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81461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2ADD2" w14:textId="77777777" w:rsidR="00987682" w:rsidRPr="007A6CCD" w:rsidRDefault="00981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7"/>
                <w:id w:val="1662758483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6A33304C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0B9BD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2513E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3793C" w14:textId="77777777" w:rsidR="00987682" w:rsidRPr="007A6CCD" w:rsidRDefault="009876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6ED81A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8"/>
                <w:id w:val="2056627161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77652719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99D91F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2B81F4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56C0B" w14:textId="77777777" w:rsidR="00987682" w:rsidRPr="007A6CCD" w:rsidRDefault="009818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29"/>
                <w:id w:val="-1393680004"/>
              </w:sdtPr>
              <w:sdtEndPr/>
              <w:sdtContent>
                <w:r w:rsidR="003063D6" w:rsidRPr="007A6CCD">
                  <w:rPr>
                    <w:rFonts w:ascii="Segoe UI Symbol" w:eastAsia="Arial Unicode MS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  <w:p w14:paraId="7DAECC51" w14:textId="77777777" w:rsidR="00987682" w:rsidRPr="007A6CCD" w:rsidRDefault="00987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5E1360A" w14:textId="77777777" w:rsidR="00987682" w:rsidRPr="007A6CCD" w:rsidRDefault="003063D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Всі заявлені дії повинні бути підтверджені процесуальними документами. Відсутність хоча б одного документа є підставою для уточнення або повернення </w:t>
            </w:r>
            <w:proofErr w:type="spellStart"/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акта</w:t>
            </w:r>
            <w:proofErr w:type="spellEnd"/>
            <w:r w:rsidRPr="007A6C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14:paraId="6A964D26" w14:textId="77777777" w:rsidR="00987682" w:rsidRPr="007A6CCD" w:rsidRDefault="0098768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1A91AF" w14:textId="77777777" w:rsidR="00987682" w:rsidRPr="007A6CCD" w:rsidRDefault="00987682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D53A91C" w14:textId="77777777" w:rsidR="00987682" w:rsidRPr="007A6CCD" w:rsidRDefault="003063D6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sz w:val="24"/>
          <w:szCs w:val="24"/>
        </w:rPr>
        <w:t>II. Практичні рекомендації працівникам</w:t>
      </w:r>
    </w:p>
    <w:p w14:paraId="1D8B7C67" w14:textId="77777777" w:rsidR="00987682" w:rsidRPr="007A6CCD" w:rsidRDefault="003063D6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i/>
          <w:iCs/>
          <w:sz w:val="24"/>
          <w:szCs w:val="24"/>
        </w:rPr>
        <w:t>Перевірку здійснювати послідовно — від арифметики до документального підтвердження.</w:t>
      </w:r>
    </w:p>
    <w:p w14:paraId="0B303E1C" w14:textId="77777777" w:rsidR="00987682" w:rsidRPr="007A6CCD" w:rsidRDefault="003063D6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i/>
          <w:iCs/>
          <w:sz w:val="24"/>
          <w:szCs w:val="24"/>
        </w:rPr>
        <w:t>Не обмежуватись формальною перевіркою розрахунків — оцінювати зміст та логіку застосування коефіцієнтів.</w:t>
      </w:r>
    </w:p>
    <w:p w14:paraId="54CB5E9C" w14:textId="77777777" w:rsidR="00987682" w:rsidRPr="007A6CCD" w:rsidRDefault="003063D6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i/>
          <w:iCs/>
          <w:sz w:val="24"/>
          <w:szCs w:val="24"/>
        </w:rPr>
        <w:t>У разі сумнівів — ініціювати письмовий запит адвокату.</w:t>
      </w:r>
    </w:p>
    <w:p w14:paraId="18F9677B" w14:textId="77777777" w:rsidR="00987682" w:rsidRPr="007A6CCD" w:rsidRDefault="003063D6">
      <w:pPr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i/>
          <w:iCs/>
          <w:sz w:val="24"/>
          <w:szCs w:val="24"/>
        </w:rPr>
        <w:t>Повторювані однакові порушення фіксувати як системні.</w:t>
      </w:r>
    </w:p>
    <w:p w14:paraId="7AB064D8" w14:textId="1214A1C7" w:rsidR="00987682" w:rsidRPr="000513C0" w:rsidRDefault="003063D6" w:rsidP="006C00C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CCD">
        <w:rPr>
          <w:rFonts w:ascii="Times New Roman" w:eastAsia="Times New Roman" w:hAnsi="Times New Roman" w:cs="Times New Roman"/>
          <w:i/>
          <w:iCs/>
          <w:sz w:val="24"/>
          <w:szCs w:val="24"/>
        </w:rPr>
        <w:t>При наявності ознак завищення — рекомендувати проведення поглибленого фінансового аналізу.</w:t>
      </w:r>
      <w:r w:rsidR="006C00CD" w:rsidRPr="000513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987682" w:rsidRPr="000513C0" w:rsidSect="000513C0">
      <w:headerReference w:type="default" r:id="rId9"/>
      <w:pgSz w:w="11906" w:h="16838"/>
      <w:pgMar w:top="850" w:right="850" w:bottom="850" w:left="1418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A7A3D" w14:textId="77777777" w:rsidR="009818F5" w:rsidRDefault="009818F5">
      <w:pPr>
        <w:spacing w:after="0" w:line="240" w:lineRule="auto"/>
      </w:pPr>
      <w:r>
        <w:separator/>
      </w:r>
    </w:p>
  </w:endnote>
  <w:endnote w:type="continuationSeparator" w:id="0">
    <w:p w14:paraId="113E9E42" w14:textId="77777777" w:rsidR="009818F5" w:rsidRDefault="0098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192B4E9-9BD4-4374-B0E5-CDD1C5F1F747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32EA916F-2C6B-46D8-AD72-40BA88F25D93}"/>
    <w:embedBold r:id="rId3" w:fontKey="{4F94CF22-3404-4B5C-86D3-62E4CBD3E736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57005AB-2C37-4EA5-9D73-B4D6D2BAD2D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F47847C-C4FC-467D-B209-A15FE57E76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736DAC8-4F1F-4350-8CBA-B3204698DB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481F0" w14:textId="77777777" w:rsidR="009818F5" w:rsidRDefault="009818F5">
      <w:pPr>
        <w:spacing w:after="0" w:line="240" w:lineRule="auto"/>
      </w:pPr>
      <w:r>
        <w:separator/>
      </w:r>
    </w:p>
  </w:footnote>
  <w:footnote w:type="continuationSeparator" w:id="0">
    <w:p w14:paraId="7572929A" w14:textId="77777777" w:rsidR="009818F5" w:rsidRDefault="00981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175937"/>
      <w:docPartObj>
        <w:docPartGallery w:val="Page Numbers (Top of Page)"/>
        <w:docPartUnique/>
      </w:docPartObj>
    </w:sdtPr>
    <w:sdtEndPr/>
    <w:sdtContent>
      <w:p w14:paraId="4646CD2C" w14:textId="3B3FE353" w:rsidR="00B37F71" w:rsidRDefault="00B37F71">
        <w:pPr>
          <w:pStyle w:val="aff2"/>
          <w:jc w:val="center"/>
        </w:pPr>
        <w:r w:rsidRPr="00B37F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7F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7F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2215" w:rsidRPr="003C2215">
          <w:rPr>
            <w:rFonts w:ascii="Times New Roman" w:hAnsi="Times New Roman" w:cs="Times New Roman"/>
            <w:noProof/>
            <w:sz w:val="24"/>
            <w:szCs w:val="24"/>
            <w:lang w:val="uk-UA"/>
          </w:rPr>
          <w:t>2</w:t>
        </w:r>
        <w:r w:rsidRPr="00B37F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79A5FB" w14:textId="77777777" w:rsidR="00B37F71" w:rsidRDefault="00B37F71">
    <w:pPr>
      <w:pStyle w:val="a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C4CB6"/>
    <w:multiLevelType w:val="multilevel"/>
    <w:tmpl w:val="69B47A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4A06E24"/>
    <w:multiLevelType w:val="multilevel"/>
    <w:tmpl w:val="74B0122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82"/>
    <w:rsid w:val="000513C0"/>
    <w:rsid w:val="003063D6"/>
    <w:rsid w:val="003231CC"/>
    <w:rsid w:val="003C2215"/>
    <w:rsid w:val="00427F7B"/>
    <w:rsid w:val="00567B8C"/>
    <w:rsid w:val="006C00CD"/>
    <w:rsid w:val="007A6CCD"/>
    <w:rsid w:val="007A7616"/>
    <w:rsid w:val="007E0363"/>
    <w:rsid w:val="009818F5"/>
    <w:rsid w:val="00987682"/>
    <w:rsid w:val="00B37F71"/>
    <w:rsid w:val="00C801B8"/>
    <w:rsid w:val="00D20D77"/>
    <w:rsid w:val="00DD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2DDB"/>
  <w15:docId w15:val="{F0A5F155-8BD3-462F-A1B9-CC2821A4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3C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024D4C"/>
    <w:pPr>
      <w:ind w:left="720"/>
      <w:contextualSpacing/>
    </w:pPr>
  </w:style>
  <w:style w:type="table" w:styleId="a5">
    <w:name w:val="Table Grid"/>
    <w:basedOn w:val="a1"/>
    <w:uiPriority w:val="39"/>
    <w:rsid w:val="004E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uiPriority w:val="9"/>
    <w:semiHidden/>
    <w:rsid w:val="006020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annotation text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E116DA"/>
    <w:rPr>
      <w:b/>
      <w:bCs/>
    </w:rPr>
  </w:style>
  <w:style w:type="character" w:customStyle="1" w:styleId="af8">
    <w:name w:val="Тема примітки Знак"/>
    <w:basedOn w:val="af5"/>
    <w:link w:val="af7"/>
    <w:uiPriority w:val="99"/>
    <w:semiHidden/>
    <w:rsid w:val="00E116DA"/>
    <w:rPr>
      <w:b/>
      <w:bCs/>
      <w:sz w:val="20"/>
      <w:szCs w:val="20"/>
    </w:rPr>
  </w:style>
  <w:style w:type="paragraph" w:styleId="af9">
    <w:name w:val="footnote text"/>
    <w:link w:val="afa"/>
    <w:uiPriority w:val="99"/>
    <w:semiHidden/>
    <w:unhideWhenUsed/>
    <w:rsid w:val="00E142E8"/>
    <w:pPr>
      <w:spacing w:after="0" w:line="240" w:lineRule="auto"/>
    </w:pPr>
    <w:rPr>
      <w:sz w:val="20"/>
      <w:szCs w:val="20"/>
    </w:rPr>
  </w:style>
  <w:style w:type="character" w:customStyle="1" w:styleId="afa">
    <w:name w:val="Текст виноски Знак"/>
    <w:basedOn w:val="a0"/>
    <w:link w:val="af9"/>
    <w:uiPriority w:val="99"/>
    <w:semiHidden/>
    <w:rsid w:val="00E142E8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E142E8"/>
    <w:rPr>
      <w:vertAlign w:val="superscript"/>
    </w:r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header"/>
    <w:basedOn w:val="a"/>
    <w:link w:val="aff3"/>
    <w:uiPriority w:val="99"/>
    <w:unhideWhenUsed/>
    <w:rsid w:val="00B37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3">
    <w:name w:val="Верхній колонтитул Знак"/>
    <w:basedOn w:val="a0"/>
    <w:link w:val="aff2"/>
    <w:uiPriority w:val="99"/>
    <w:rsid w:val="00B37F71"/>
  </w:style>
  <w:style w:type="paragraph" w:styleId="aff4">
    <w:name w:val="footer"/>
    <w:basedOn w:val="a"/>
    <w:link w:val="aff5"/>
    <w:uiPriority w:val="99"/>
    <w:unhideWhenUsed/>
    <w:rsid w:val="00B37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5">
    <w:name w:val="Нижній колонтитул Знак"/>
    <w:basedOn w:val="a0"/>
    <w:link w:val="aff4"/>
    <w:uiPriority w:val="99"/>
    <w:rsid w:val="00B37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aGd3RZnFvnLiJcaNO5cOw3Rmg==">CgMxLjAaJQoBMBIgCh4IB0IaCg9UaW1lcyBOZXcgUm9tYW4SB0d1bmdzdWgaJQoBMRIgCh4IB0IaCg9UaW1lcyBOZXcgUm9tYW4SB0d1bmdzdWgaMAoBMhIrCikIB0IlChFRdWF0dHJvY2VudG8gU2FucxIQQXJpYWwgVW5pY29kZSBNUxowCgEzEisKKQgHQiUKEVF1YXR0cm9jZW50byBTYW5zEhBBcmlhbCBVbmljb2RlIE1T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GjEKAjI1EisKKQgHQiUKEVF1YXR0cm9jZW50byBTYW5zEhBBcmlhbCBVbmljb2RlIE1TGjEKAjI2EisKKQgHQiUKEVF1YXR0cm9jZW50byBTYW5zEhBBcmlhbCBVbmljb2RlIE1TGjEKAjI3EisKKQgHQiUKEVF1YXR0cm9jZW50byBTYW5zEhBBcmlhbCBVbmljb2RlIE1TGjEKAjI4EisKKQgHQiUKEVF1YXR0cm9jZW50byBTYW5zEhBBcmlhbCBVbmljb2RlIE1TGjEKAjI5EisKKQgHQiUKEVF1YXR0cm9jZW50byBTYW5zEhBBcmlhbCBVbmljb2RlIE1TMg5oLmZobXppeXdmOWJ0aDgAciExN3d2SlpjdzdKY1dqT18xMXlKOGpaOWlpSlFVdHFZbnU=</go:docsCustomData>
</go:gDocsCustomXmlDataStorage>
</file>

<file path=customXml/itemProps1.xml><?xml version="1.0" encoding="utf-8"?>
<ds:datastoreItem xmlns:ds="http://schemas.openxmlformats.org/officeDocument/2006/customXml" ds:itemID="{EC2BFFF8-FF2C-403F-BF54-904072B510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1730</Words>
  <Characters>987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ВАСИЛЯКА</dc:creator>
  <cp:lastModifiedBy>Наталя ЛОПАТА</cp:lastModifiedBy>
  <cp:revision>3</cp:revision>
  <dcterms:created xsi:type="dcterms:W3CDTF">2026-04-02T14:20:00Z</dcterms:created>
  <dcterms:modified xsi:type="dcterms:W3CDTF">2026-04-02T14:47:00Z</dcterms:modified>
</cp:coreProperties>
</file>