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27F26" w14:textId="0E4AD385" w:rsidR="00987682" w:rsidRPr="007A6CCD" w:rsidRDefault="0023545F" w:rsidP="000513C0">
      <w:pPr>
        <w:spacing w:after="0"/>
        <w:ind w:firstLine="79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063D6" w:rsidRPr="007A6CCD">
        <w:rPr>
          <w:rFonts w:ascii="Times New Roman" w:eastAsia="Times New Roman" w:hAnsi="Times New Roman" w:cs="Times New Roman"/>
          <w:sz w:val="24"/>
          <w:szCs w:val="24"/>
        </w:rPr>
        <w:t>Додаток 1</w:t>
      </w:r>
    </w:p>
    <w:p w14:paraId="4D92410A" w14:textId="5431596F" w:rsidR="00987682" w:rsidRPr="007A6CCD" w:rsidRDefault="007A6CCD" w:rsidP="000513C0">
      <w:pPr>
        <w:ind w:left="110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до Порядку </w:t>
      </w:r>
      <w:r w:rsidRPr="007A6CCD">
        <w:rPr>
          <w:rFonts w:ascii="Times New Roman" w:eastAsia="Times New Roman" w:hAnsi="Times New Roman" w:cs="Times New Roman"/>
          <w:sz w:val="24"/>
          <w:szCs w:val="24"/>
        </w:rPr>
        <w:t xml:space="preserve">моніторингу та аналізу стану опрацювання міжрегіональними центрами з надання безоплатної правничої допомоги актів надання безоплатної вторинної правничої допомоги </w:t>
      </w:r>
    </w:p>
    <w:p w14:paraId="71E46B8C" w14:textId="56D5DDF8" w:rsidR="00987682" w:rsidRPr="007A6CCD" w:rsidRDefault="003063D6" w:rsidP="007A6CCD">
      <w:pPr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6CCD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Нормативні значення показників, що розраховуються з метою моніторингу та аналіз своєчасності опрацювання міжрегіональними центрами актів</w:t>
      </w:r>
    </w:p>
    <w:tbl>
      <w:tblPr>
        <w:tblStyle w:val="aff"/>
        <w:tblW w:w="156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8"/>
        <w:gridCol w:w="1086"/>
        <w:gridCol w:w="960"/>
        <w:gridCol w:w="960"/>
        <w:gridCol w:w="1127"/>
        <w:gridCol w:w="1006"/>
        <w:gridCol w:w="1047"/>
        <w:gridCol w:w="1057"/>
        <w:gridCol w:w="981"/>
        <w:gridCol w:w="1076"/>
        <w:gridCol w:w="1161"/>
        <w:gridCol w:w="1114"/>
        <w:gridCol w:w="1196"/>
        <w:gridCol w:w="1062"/>
      </w:tblGrid>
      <w:tr w:rsidR="00987682" w:rsidRPr="007A6CCD" w14:paraId="1C5B5B69" w14:textId="77777777">
        <w:trPr>
          <w:trHeight w:val="300"/>
        </w:trPr>
        <w:tc>
          <w:tcPr>
            <w:tcW w:w="2914" w:type="dxa"/>
            <w:gridSpan w:val="2"/>
            <w:shd w:val="clear" w:color="auto" w:fill="auto"/>
            <w:vAlign w:val="bottom"/>
          </w:tcPr>
          <w:p w14:paraId="62FED7D0" w14:textId="77777777" w:rsidR="00987682" w:rsidRPr="0023545F" w:rsidRDefault="0030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545F">
              <w:rPr>
                <w:rFonts w:ascii="Times New Roman" w:eastAsia="Times New Roman" w:hAnsi="Times New Roman" w:cs="Times New Roman"/>
                <w:color w:val="000000"/>
              </w:rPr>
              <w:t>Значення показників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5AA2D70" w14:textId="77777777" w:rsidR="00987682" w:rsidRPr="0023545F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545F">
              <w:rPr>
                <w:rFonts w:ascii="Times New Roman" w:eastAsia="Times New Roman" w:hAnsi="Times New Roman" w:cs="Times New Roman"/>
                <w:color w:val="000000"/>
              </w:rPr>
              <w:t>Січень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C9E0A96" w14:textId="77777777" w:rsidR="00987682" w:rsidRPr="0023545F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545F">
              <w:rPr>
                <w:rFonts w:ascii="Times New Roman" w:eastAsia="Times New Roman" w:hAnsi="Times New Roman" w:cs="Times New Roman"/>
                <w:color w:val="000000"/>
              </w:rPr>
              <w:t>Лютий</w:t>
            </w:r>
          </w:p>
        </w:tc>
        <w:tc>
          <w:tcPr>
            <w:tcW w:w="1127" w:type="dxa"/>
            <w:shd w:val="clear" w:color="auto" w:fill="auto"/>
            <w:vAlign w:val="bottom"/>
          </w:tcPr>
          <w:p w14:paraId="660901B8" w14:textId="77777777" w:rsidR="00987682" w:rsidRPr="0023545F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545F">
              <w:rPr>
                <w:rFonts w:ascii="Times New Roman" w:eastAsia="Times New Roman" w:hAnsi="Times New Roman" w:cs="Times New Roman"/>
                <w:color w:val="000000"/>
              </w:rPr>
              <w:t>Березень</w:t>
            </w:r>
          </w:p>
        </w:tc>
        <w:tc>
          <w:tcPr>
            <w:tcW w:w="1006" w:type="dxa"/>
            <w:shd w:val="clear" w:color="auto" w:fill="auto"/>
            <w:vAlign w:val="bottom"/>
          </w:tcPr>
          <w:p w14:paraId="0293D8E6" w14:textId="77777777" w:rsidR="00987682" w:rsidRPr="0023545F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545F">
              <w:rPr>
                <w:rFonts w:ascii="Times New Roman" w:eastAsia="Times New Roman" w:hAnsi="Times New Roman" w:cs="Times New Roman"/>
                <w:color w:val="000000"/>
              </w:rPr>
              <w:t>Квітень</w:t>
            </w:r>
          </w:p>
        </w:tc>
        <w:tc>
          <w:tcPr>
            <w:tcW w:w="1047" w:type="dxa"/>
            <w:shd w:val="clear" w:color="auto" w:fill="auto"/>
            <w:vAlign w:val="bottom"/>
          </w:tcPr>
          <w:p w14:paraId="7CF495FD" w14:textId="77777777" w:rsidR="00987682" w:rsidRPr="0023545F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545F">
              <w:rPr>
                <w:rFonts w:ascii="Times New Roman" w:eastAsia="Times New Roman" w:hAnsi="Times New Roman" w:cs="Times New Roman"/>
                <w:color w:val="000000"/>
              </w:rPr>
              <w:t>Травень</w:t>
            </w:r>
          </w:p>
        </w:tc>
        <w:tc>
          <w:tcPr>
            <w:tcW w:w="1057" w:type="dxa"/>
            <w:shd w:val="clear" w:color="auto" w:fill="auto"/>
            <w:vAlign w:val="bottom"/>
          </w:tcPr>
          <w:p w14:paraId="4E2B1215" w14:textId="77777777" w:rsidR="00987682" w:rsidRPr="0023545F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545F">
              <w:rPr>
                <w:rFonts w:ascii="Times New Roman" w:eastAsia="Times New Roman" w:hAnsi="Times New Roman" w:cs="Times New Roman"/>
                <w:color w:val="000000"/>
              </w:rPr>
              <w:t>Червень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65619441" w14:textId="77777777" w:rsidR="00987682" w:rsidRPr="0023545F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545F">
              <w:rPr>
                <w:rFonts w:ascii="Times New Roman" w:eastAsia="Times New Roman" w:hAnsi="Times New Roman" w:cs="Times New Roman"/>
                <w:color w:val="000000"/>
              </w:rPr>
              <w:t>Липень</w:t>
            </w:r>
          </w:p>
        </w:tc>
        <w:tc>
          <w:tcPr>
            <w:tcW w:w="1076" w:type="dxa"/>
            <w:shd w:val="clear" w:color="auto" w:fill="auto"/>
            <w:vAlign w:val="bottom"/>
          </w:tcPr>
          <w:p w14:paraId="6B817FA4" w14:textId="77777777" w:rsidR="00987682" w:rsidRPr="0023545F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545F">
              <w:rPr>
                <w:rFonts w:ascii="Times New Roman" w:eastAsia="Times New Roman" w:hAnsi="Times New Roman" w:cs="Times New Roman"/>
                <w:color w:val="000000"/>
              </w:rPr>
              <w:t>Серпень</w:t>
            </w:r>
          </w:p>
        </w:tc>
        <w:tc>
          <w:tcPr>
            <w:tcW w:w="1161" w:type="dxa"/>
            <w:shd w:val="clear" w:color="auto" w:fill="auto"/>
            <w:vAlign w:val="bottom"/>
          </w:tcPr>
          <w:p w14:paraId="620AA459" w14:textId="77777777" w:rsidR="00987682" w:rsidRPr="0023545F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545F">
              <w:rPr>
                <w:rFonts w:ascii="Times New Roman" w:eastAsia="Times New Roman" w:hAnsi="Times New Roman" w:cs="Times New Roman"/>
                <w:color w:val="000000"/>
              </w:rPr>
              <w:t>Вересень</w:t>
            </w:r>
          </w:p>
        </w:tc>
        <w:tc>
          <w:tcPr>
            <w:tcW w:w="1114" w:type="dxa"/>
            <w:shd w:val="clear" w:color="auto" w:fill="auto"/>
            <w:vAlign w:val="bottom"/>
          </w:tcPr>
          <w:p w14:paraId="4D4FC837" w14:textId="77777777" w:rsidR="00987682" w:rsidRPr="0023545F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545F">
              <w:rPr>
                <w:rFonts w:ascii="Times New Roman" w:eastAsia="Times New Roman" w:hAnsi="Times New Roman" w:cs="Times New Roman"/>
                <w:color w:val="000000"/>
              </w:rPr>
              <w:t>Жовтень</w:t>
            </w:r>
          </w:p>
        </w:tc>
        <w:tc>
          <w:tcPr>
            <w:tcW w:w="1196" w:type="dxa"/>
            <w:shd w:val="clear" w:color="auto" w:fill="auto"/>
            <w:vAlign w:val="bottom"/>
          </w:tcPr>
          <w:p w14:paraId="08C0D6AD" w14:textId="77777777" w:rsidR="00987682" w:rsidRPr="0023545F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545F">
              <w:rPr>
                <w:rFonts w:ascii="Times New Roman" w:eastAsia="Times New Roman" w:hAnsi="Times New Roman" w:cs="Times New Roman"/>
                <w:color w:val="000000"/>
              </w:rPr>
              <w:t>Листопад</w:t>
            </w:r>
          </w:p>
        </w:tc>
        <w:tc>
          <w:tcPr>
            <w:tcW w:w="1062" w:type="dxa"/>
            <w:shd w:val="clear" w:color="auto" w:fill="auto"/>
            <w:vAlign w:val="bottom"/>
          </w:tcPr>
          <w:p w14:paraId="68F86584" w14:textId="77777777" w:rsidR="00987682" w:rsidRPr="0023545F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545F">
              <w:rPr>
                <w:rFonts w:ascii="Times New Roman" w:eastAsia="Times New Roman" w:hAnsi="Times New Roman" w:cs="Times New Roman"/>
                <w:color w:val="000000"/>
              </w:rPr>
              <w:t>Грудень</w:t>
            </w:r>
          </w:p>
        </w:tc>
      </w:tr>
      <w:tr w:rsidR="00987682" w:rsidRPr="007A6CCD" w14:paraId="332F0992" w14:textId="77777777">
        <w:trPr>
          <w:trHeight w:val="300"/>
        </w:trPr>
        <w:tc>
          <w:tcPr>
            <w:tcW w:w="1828" w:type="dxa"/>
            <w:vMerge w:val="restart"/>
            <w:shd w:val="clear" w:color="auto" w:fill="auto"/>
            <w:vAlign w:val="center"/>
          </w:tcPr>
          <w:p w14:paraId="77CE988B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Частка перевірених актів</w:t>
            </w:r>
          </w:p>
        </w:tc>
        <w:tc>
          <w:tcPr>
            <w:tcW w:w="1086" w:type="dxa"/>
            <w:shd w:val="clear" w:color="auto" w:fill="auto"/>
            <w:vAlign w:val="bottom"/>
          </w:tcPr>
          <w:p w14:paraId="4BBEFEB0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звітного місяця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93D78E1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65352DD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1127" w:type="dxa"/>
            <w:shd w:val="clear" w:color="auto" w:fill="auto"/>
            <w:vAlign w:val="bottom"/>
          </w:tcPr>
          <w:p w14:paraId="059EBD55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1006" w:type="dxa"/>
            <w:shd w:val="clear" w:color="auto" w:fill="auto"/>
            <w:vAlign w:val="bottom"/>
          </w:tcPr>
          <w:p w14:paraId="35D21F93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1047" w:type="dxa"/>
            <w:shd w:val="clear" w:color="auto" w:fill="auto"/>
            <w:vAlign w:val="bottom"/>
          </w:tcPr>
          <w:p w14:paraId="59121EFF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1057" w:type="dxa"/>
            <w:shd w:val="clear" w:color="auto" w:fill="auto"/>
            <w:vAlign w:val="bottom"/>
          </w:tcPr>
          <w:p w14:paraId="273BF940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42D5D335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1076" w:type="dxa"/>
            <w:shd w:val="clear" w:color="auto" w:fill="auto"/>
            <w:vAlign w:val="bottom"/>
          </w:tcPr>
          <w:p w14:paraId="2014729F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1161" w:type="dxa"/>
            <w:shd w:val="clear" w:color="auto" w:fill="auto"/>
            <w:vAlign w:val="bottom"/>
          </w:tcPr>
          <w:p w14:paraId="4B7DF37C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1114" w:type="dxa"/>
            <w:shd w:val="clear" w:color="auto" w:fill="auto"/>
            <w:vAlign w:val="bottom"/>
          </w:tcPr>
          <w:p w14:paraId="39F2BEF4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1196" w:type="dxa"/>
            <w:shd w:val="clear" w:color="auto" w:fill="auto"/>
            <w:vAlign w:val="bottom"/>
          </w:tcPr>
          <w:p w14:paraId="3094677D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1062" w:type="dxa"/>
            <w:shd w:val="clear" w:color="auto" w:fill="auto"/>
            <w:vAlign w:val="bottom"/>
          </w:tcPr>
          <w:p w14:paraId="4852FFE0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</w:tr>
      <w:tr w:rsidR="00987682" w:rsidRPr="007A6CCD" w14:paraId="2CD293F0" w14:textId="77777777">
        <w:trPr>
          <w:trHeight w:val="300"/>
        </w:trPr>
        <w:tc>
          <w:tcPr>
            <w:tcW w:w="1828" w:type="dxa"/>
            <w:vMerge/>
            <w:shd w:val="clear" w:color="auto" w:fill="auto"/>
            <w:vAlign w:val="center"/>
          </w:tcPr>
          <w:p w14:paraId="2E8EEDAC" w14:textId="77777777" w:rsidR="00987682" w:rsidRPr="007A6CCD" w:rsidRDefault="00987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  <w:shd w:val="clear" w:color="auto" w:fill="auto"/>
            <w:vAlign w:val="bottom"/>
          </w:tcPr>
          <w:p w14:paraId="3C40ABD6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періоду з початку року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80D0E1B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75,0%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7E2E1B9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87,5%</w:t>
            </w:r>
          </w:p>
        </w:tc>
        <w:tc>
          <w:tcPr>
            <w:tcW w:w="1127" w:type="dxa"/>
            <w:shd w:val="clear" w:color="auto" w:fill="auto"/>
            <w:vAlign w:val="bottom"/>
          </w:tcPr>
          <w:p w14:paraId="65FA4DB9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91,7%</w:t>
            </w:r>
          </w:p>
        </w:tc>
        <w:tc>
          <w:tcPr>
            <w:tcW w:w="1006" w:type="dxa"/>
            <w:shd w:val="clear" w:color="auto" w:fill="auto"/>
            <w:vAlign w:val="bottom"/>
          </w:tcPr>
          <w:p w14:paraId="4E84920A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93,8%</w:t>
            </w:r>
          </w:p>
        </w:tc>
        <w:tc>
          <w:tcPr>
            <w:tcW w:w="1047" w:type="dxa"/>
            <w:shd w:val="clear" w:color="auto" w:fill="auto"/>
            <w:vAlign w:val="bottom"/>
          </w:tcPr>
          <w:p w14:paraId="4EE36FAF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95,0%</w:t>
            </w:r>
          </w:p>
        </w:tc>
        <w:tc>
          <w:tcPr>
            <w:tcW w:w="1057" w:type="dxa"/>
            <w:shd w:val="clear" w:color="auto" w:fill="auto"/>
            <w:vAlign w:val="bottom"/>
          </w:tcPr>
          <w:p w14:paraId="0640758D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95,8%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71EA680E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96,4%</w:t>
            </w:r>
          </w:p>
        </w:tc>
        <w:tc>
          <w:tcPr>
            <w:tcW w:w="1076" w:type="dxa"/>
            <w:shd w:val="clear" w:color="auto" w:fill="auto"/>
            <w:vAlign w:val="bottom"/>
          </w:tcPr>
          <w:p w14:paraId="48A6C604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96,9%</w:t>
            </w:r>
          </w:p>
        </w:tc>
        <w:tc>
          <w:tcPr>
            <w:tcW w:w="1161" w:type="dxa"/>
            <w:shd w:val="clear" w:color="auto" w:fill="auto"/>
            <w:vAlign w:val="bottom"/>
          </w:tcPr>
          <w:p w14:paraId="410754B4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97,2%</w:t>
            </w:r>
          </w:p>
        </w:tc>
        <w:tc>
          <w:tcPr>
            <w:tcW w:w="1114" w:type="dxa"/>
            <w:shd w:val="clear" w:color="auto" w:fill="auto"/>
            <w:vAlign w:val="bottom"/>
          </w:tcPr>
          <w:p w14:paraId="514961A5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97,5%</w:t>
            </w:r>
          </w:p>
        </w:tc>
        <w:tc>
          <w:tcPr>
            <w:tcW w:w="1196" w:type="dxa"/>
            <w:shd w:val="clear" w:color="auto" w:fill="auto"/>
            <w:vAlign w:val="bottom"/>
          </w:tcPr>
          <w:p w14:paraId="0733D222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97,7%</w:t>
            </w:r>
          </w:p>
        </w:tc>
        <w:tc>
          <w:tcPr>
            <w:tcW w:w="1062" w:type="dxa"/>
            <w:shd w:val="clear" w:color="auto" w:fill="auto"/>
            <w:vAlign w:val="bottom"/>
          </w:tcPr>
          <w:p w14:paraId="6A1117FF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97,9%</w:t>
            </w:r>
          </w:p>
        </w:tc>
      </w:tr>
      <w:tr w:rsidR="00987682" w:rsidRPr="007A6CCD" w14:paraId="0D64B362" w14:textId="77777777">
        <w:trPr>
          <w:trHeight w:val="300"/>
        </w:trPr>
        <w:tc>
          <w:tcPr>
            <w:tcW w:w="1828" w:type="dxa"/>
            <w:vMerge w:val="restart"/>
            <w:shd w:val="clear" w:color="auto" w:fill="auto"/>
            <w:vAlign w:val="center"/>
          </w:tcPr>
          <w:p w14:paraId="25823328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Частка актів, фінансові зобов’язання за якими зареєстровані в органах ДКСУ</w:t>
            </w: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1086" w:type="dxa"/>
            <w:shd w:val="clear" w:color="auto" w:fill="auto"/>
          </w:tcPr>
          <w:p w14:paraId="0EF15EA0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звітного місяця</w:t>
            </w:r>
          </w:p>
        </w:tc>
        <w:tc>
          <w:tcPr>
            <w:tcW w:w="960" w:type="dxa"/>
            <w:shd w:val="clear" w:color="auto" w:fill="auto"/>
          </w:tcPr>
          <w:p w14:paraId="5CC7D27A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960" w:type="dxa"/>
            <w:shd w:val="clear" w:color="auto" w:fill="auto"/>
          </w:tcPr>
          <w:p w14:paraId="78E26E8E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127" w:type="dxa"/>
            <w:shd w:val="clear" w:color="auto" w:fill="auto"/>
          </w:tcPr>
          <w:p w14:paraId="21B82E6E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006" w:type="dxa"/>
            <w:shd w:val="clear" w:color="auto" w:fill="auto"/>
          </w:tcPr>
          <w:p w14:paraId="31D9FAB8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047" w:type="dxa"/>
            <w:shd w:val="clear" w:color="auto" w:fill="auto"/>
          </w:tcPr>
          <w:p w14:paraId="127426A2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057" w:type="dxa"/>
            <w:shd w:val="clear" w:color="auto" w:fill="auto"/>
          </w:tcPr>
          <w:p w14:paraId="0CFADAC3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981" w:type="dxa"/>
            <w:shd w:val="clear" w:color="auto" w:fill="auto"/>
          </w:tcPr>
          <w:p w14:paraId="0EA73060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076" w:type="dxa"/>
            <w:shd w:val="clear" w:color="auto" w:fill="auto"/>
          </w:tcPr>
          <w:p w14:paraId="3EF79BEE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161" w:type="dxa"/>
            <w:shd w:val="clear" w:color="auto" w:fill="auto"/>
          </w:tcPr>
          <w:p w14:paraId="3C25D71F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114" w:type="dxa"/>
            <w:shd w:val="clear" w:color="auto" w:fill="auto"/>
          </w:tcPr>
          <w:p w14:paraId="12BA9C0D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196" w:type="dxa"/>
            <w:shd w:val="clear" w:color="auto" w:fill="auto"/>
          </w:tcPr>
          <w:p w14:paraId="1C0165C2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062" w:type="dxa"/>
            <w:shd w:val="clear" w:color="auto" w:fill="auto"/>
          </w:tcPr>
          <w:p w14:paraId="7CA97E71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987682" w:rsidRPr="007A6CCD" w14:paraId="671C6203" w14:textId="77777777">
        <w:trPr>
          <w:trHeight w:val="300"/>
        </w:trPr>
        <w:tc>
          <w:tcPr>
            <w:tcW w:w="1828" w:type="dxa"/>
            <w:vMerge/>
            <w:shd w:val="clear" w:color="auto" w:fill="auto"/>
            <w:vAlign w:val="center"/>
          </w:tcPr>
          <w:p w14:paraId="6B4273AA" w14:textId="77777777" w:rsidR="00987682" w:rsidRPr="007A6CCD" w:rsidRDefault="00987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  <w:shd w:val="clear" w:color="auto" w:fill="auto"/>
          </w:tcPr>
          <w:p w14:paraId="6F5C4262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періоду з початку року</w:t>
            </w:r>
          </w:p>
        </w:tc>
        <w:tc>
          <w:tcPr>
            <w:tcW w:w="960" w:type="dxa"/>
            <w:shd w:val="clear" w:color="auto" w:fill="auto"/>
          </w:tcPr>
          <w:p w14:paraId="416B8CBB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960" w:type="dxa"/>
            <w:shd w:val="clear" w:color="auto" w:fill="auto"/>
          </w:tcPr>
          <w:p w14:paraId="5602C7C3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66,7%</w:t>
            </w:r>
          </w:p>
        </w:tc>
        <w:tc>
          <w:tcPr>
            <w:tcW w:w="1127" w:type="dxa"/>
            <w:shd w:val="clear" w:color="auto" w:fill="auto"/>
          </w:tcPr>
          <w:p w14:paraId="43B657E9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77,8%</w:t>
            </w:r>
          </w:p>
        </w:tc>
        <w:tc>
          <w:tcPr>
            <w:tcW w:w="1006" w:type="dxa"/>
            <w:shd w:val="clear" w:color="auto" w:fill="auto"/>
          </w:tcPr>
          <w:p w14:paraId="455757D7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83,3%</w:t>
            </w:r>
          </w:p>
        </w:tc>
        <w:tc>
          <w:tcPr>
            <w:tcW w:w="1047" w:type="dxa"/>
            <w:shd w:val="clear" w:color="auto" w:fill="auto"/>
          </w:tcPr>
          <w:p w14:paraId="42D1B6E9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86,7%</w:t>
            </w:r>
          </w:p>
        </w:tc>
        <w:tc>
          <w:tcPr>
            <w:tcW w:w="1057" w:type="dxa"/>
            <w:shd w:val="clear" w:color="auto" w:fill="auto"/>
          </w:tcPr>
          <w:p w14:paraId="0262E064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88,9%</w:t>
            </w:r>
          </w:p>
        </w:tc>
        <w:tc>
          <w:tcPr>
            <w:tcW w:w="981" w:type="dxa"/>
            <w:shd w:val="clear" w:color="auto" w:fill="auto"/>
          </w:tcPr>
          <w:p w14:paraId="26470457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90,5%</w:t>
            </w:r>
          </w:p>
        </w:tc>
        <w:tc>
          <w:tcPr>
            <w:tcW w:w="1076" w:type="dxa"/>
            <w:shd w:val="clear" w:color="auto" w:fill="auto"/>
          </w:tcPr>
          <w:p w14:paraId="0D7E574D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91,7%</w:t>
            </w:r>
          </w:p>
        </w:tc>
        <w:tc>
          <w:tcPr>
            <w:tcW w:w="1161" w:type="dxa"/>
            <w:shd w:val="clear" w:color="auto" w:fill="auto"/>
          </w:tcPr>
          <w:p w14:paraId="42E7D959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92,6%</w:t>
            </w:r>
          </w:p>
        </w:tc>
        <w:tc>
          <w:tcPr>
            <w:tcW w:w="1114" w:type="dxa"/>
            <w:shd w:val="clear" w:color="auto" w:fill="auto"/>
          </w:tcPr>
          <w:p w14:paraId="538A03E5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93,3%</w:t>
            </w:r>
          </w:p>
        </w:tc>
        <w:tc>
          <w:tcPr>
            <w:tcW w:w="1196" w:type="dxa"/>
            <w:shd w:val="clear" w:color="auto" w:fill="auto"/>
          </w:tcPr>
          <w:p w14:paraId="70C45CDA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93,9%</w:t>
            </w:r>
          </w:p>
        </w:tc>
        <w:tc>
          <w:tcPr>
            <w:tcW w:w="1062" w:type="dxa"/>
            <w:shd w:val="clear" w:color="auto" w:fill="auto"/>
          </w:tcPr>
          <w:p w14:paraId="382B1048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94,4%</w:t>
            </w:r>
          </w:p>
        </w:tc>
      </w:tr>
      <w:tr w:rsidR="00987682" w:rsidRPr="007A6CCD" w14:paraId="052E56AF" w14:textId="77777777">
        <w:trPr>
          <w:trHeight w:val="300"/>
        </w:trPr>
        <w:tc>
          <w:tcPr>
            <w:tcW w:w="1828" w:type="dxa"/>
            <w:shd w:val="clear" w:color="auto" w:fill="auto"/>
            <w:vAlign w:val="bottom"/>
          </w:tcPr>
          <w:p w14:paraId="46E8EE59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Частка актів, строк перевірки яких перевищує </w:t>
            </w: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встановлену норму </w:t>
            </w:r>
            <w:r w:rsidRPr="007A6CC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−</w:t>
            </w: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робочих днів з дня наступного за днем його реєстрації</w:t>
            </w:r>
          </w:p>
        </w:tc>
        <w:tc>
          <w:tcPr>
            <w:tcW w:w="1086" w:type="dxa"/>
            <w:shd w:val="clear" w:color="auto" w:fill="auto"/>
          </w:tcPr>
          <w:p w14:paraId="710C9D54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для звітного місяця</w:t>
            </w:r>
          </w:p>
        </w:tc>
        <w:tc>
          <w:tcPr>
            <w:tcW w:w="960" w:type="dxa"/>
            <w:shd w:val="clear" w:color="auto" w:fill="auto"/>
          </w:tcPr>
          <w:p w14:paraId="0BFC86EC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960" w:type="dxa"/>
            <w:shd w:val="clear" w:color="auto" w:fill="auto"/>
          </w:tcPr>
          <w:p w14:paraId="71D0B252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127" w:type="dxa"/>
            <w:shd w:val="clear" w:color="auto" w:fill="auto"/>
          </w:tcPr>
          <w:p w14:paraId="6E55E288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006" w:type="dxa"/>
            <w:shd w:val="clear" w:color="auto" w:fill="auto"/>
          </w:tcPr>
          <w:p w14:paraId="6FE0673A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047" w:type="dxa"/>
            <w:shd w:val="clear" w:color="auto" w:fill="auto"/>
          </w:tcPr>
          <w:p w14:paraId="0EE50499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057" w:type="dxa"/>
            <w:shd w:val="clear" w:color="auto" w:fill="auto"/>
          </w:tcPr>
          <w:p w14:paraId="02EE240C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981" w:type="dxa"/>
            <w:shd w:val="clear" w:color="auto" w:fill="auto"/>
          </w:tcPr>
          <w:p w14:paraId="04E99843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076" w:type="dxa"/>
            <w:shd w:val="clear" w:color="auto" w:fill="auto"/>
          </w:tcPr>
          <w:p w14:paraId="1082E2CA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161" w:type="dxa"/>
            <w:shd w:val="clear" w:color="auto" w:fill="auto"/>
          </w:tcPr>
          <w:p w14:paraId="08431C72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114" w:type="dxa"/>
            <w:shd w:val="clear" w:color="auto" w:fill="auto"/>
          </w:tcPr>
          <w:p w14:paraId="11A6E712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196" w:type="dxa"/>
            <w:shd w:val="clear" w:color="auto" w:fill="auto"/>
          </w:tcPr>
          <w:p w14:paraId="4AFB485C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062" w:type="dxa"/>
            <w:shd w:val="clear" w:color="auto" w:fill="auto"/>
          </w:tcPr>
          <w:p w14:paraId="2513D710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987682" w:rsidRPr="007A6CCD" w14:paraId="151DC3B2" w14:textId="77777777">
        <w:trPr>
          <w:trHeight w:val="300"/>
        </w:trPr>
        <w:tc>
          <w:tcPr>
            <w:tcW w:w="1828" w:type="dxa"/>
            <w:shd w:val="clear" w:color="auto" w:fill="auto"/>
            <w:vAlign w:val="bottom"/>
          </w:tcPr>
          <w:p w14:paraId="5DC03131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Частка актів, строк опрацювання яких перевищує встановлену норму </w:t>
            </w:r>
            <w:r w:rsidRPr="007A6CC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−</w:t>
            </w: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14 робочих днів</w:t>
            </w:r>
          </w:p>
        </w:tc>
        <w:tc>
          <w:tcPr>
            <w:tcW w:w="1086" w:type="dxa"/>
            <w:shd w:val="clear" w:color="auto" w:fill="auto"/>
          </w:tcPr>
          <w:p w14:paraId="312C18CA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звітного місяця</w:t>
            </w:r>
          </w:p>
        </w:tc>
        <w:tc>
          <w:tcPr>
            <w:tcW w:w="960" w:type="dxa"/>
            <w:shd w:val="clear" w:color="auto" w:fill="auto"/>
          </w:tcPr>
          <w:p w14:paraId="03BFDE1F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960" w:type="dxa"/>
            <w:shd w:val="clear" w:color="auto" w:fill="auto"/>
          </w:tcPr>
          <w:p w14:paraId="72B8EB7A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127" w:type="dxa"/>
            <w:shd w:val="clear" w:color="auto" w:fill="auto"/>
          </w:tcPr>
          <w:p w14:paraId="3B2EAB92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006" w:type="dxa"/>
            <w:shd w:val="clear" w:color="auto" w:fill="auto"/>
          </w:tcPr>
          <w:p w14:paraId="0878CA72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047" w:type="dxa"/>
            <w:shd w:val="clear" w:color="auto" w:fill="auto"/>
          </w:tcPr>
          <w:p w14:paraId="1CFB390E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057" w:type="dxa"/>
            <w:shd w:val="clear" w:color="auto" w:fill="auto"/>
          </w:tcPr>
          <w:p w14:paraId="6CC8860E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981" w:type="dxa"/>
            <w:shd w:val="clear" w:color="auto" w:fill="auto"/>
          </w:tcPr>
          <w:p w14:paraId="63CBBB39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076" w:type="dxa"/>
            <w:shd w:val="clear" w:color="auto" w:fill="auto"/>
          </w:tcPr>
          <w:p w14:paraId="19DA6887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161" w:type="dxa"/>
            <w:shd w:val="clear" w:color="auto" w:fill="auto"/>
          </w:tcPr>
          <w:p w14:paraId="6AE8CF51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114" w:type="dxa"/>
            <w:shd w:val="clear" w:color="auto" w:fill="auto"/>
          </w:tcPr>
          <w:p w14:paraId="00665330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196" w:type="dxa"/>
            <w:shd w:val="clear" w:color="auto" w:fill="auto"/>
          </w:tcPr>
          <w:p w14:paraId="7091F62E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062" w:type="dxa"/>
            <w:shd w:val="clear" w:color="auto" w:fill="auto"/>
          </w:tcPr>
          <w:p w14:paraId="2A9E4730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987682" w:rsidRPr="007A6CCD" w14:paraId="7CCF6628" w14:textId="77777777">
        <w:trPr>
          <w:trHeight w:val="300"/>
        </w:trPr>
        <w:tc>
          <w:tcPr>
            <w:tcW w:w="1828" w:type="dxa"/>
            <w:shd w:val="clear" w:color="auto" w:fill="auto"/>
            <w:vAlign w:val="bottom"/>
          </w:tcPr>
          <w:p w14:paraId="31E9538A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Кількість актів, фінансові зобов’язання за якими не були зареєстровані в органах ДКСУ більше 30 календарних днів</w:t>
            </w:r>
          </w:p>
        </w:tc>
        <w:tc>
          <w:tcPr>
            <w:tcW w:w="1086" w:type="dxa"/>
            <w:shd w:val="clear" w:color="auto" w:fill="auto"/>
          </w:tcPr>
          <w:p w14:paraId="5F36A0BC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періоду з початку року</w:t>
            </w:r>
          </w:p>
        </w:tc>
        <w:tc>
          <w:tcPr>
            <w:tcW w:w="960" w:type="dxa"/>
            <w:shd w:val="clear" w:color="auto" w:fill="auto"/>
          </w:tcPr>
          <w:p w14:paraId="4DC130B3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0 шт.</w:t>
            </w:r>
          </w:p>
        </w:tc>
        <w:tc>
          <w:tcPr>
            <w:tcW w:w="960" w:type="dxa"/>
            <w:shd w:val="clear" w:color="auto" w:fill="auto"/>
          </w:tcPr>
          <w:p w14:paraId="07762C28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0 шт.</w:t>
            </w:r>
          </w:p>
        </w:tc>
        <w:tc>
          <w:tcPr>
            <w:tcW w:w="1127" w:type="dxa"/>
            <w:shd w:val="clear" w:color="auto" w:fill="auto"/>
          </w:tcPr>
          <w:p w14:paraId="5B88A7F0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0 шт.</w:t>
            </w:r>
          </w:p>
        </w:tc>
        <w:tc>
          <w:tcPr>
            <w:tcW w:w="1006" w:type="dxa"/>
            <w:shd w:val="clear" w:color="auto" w:fill="auto"/>
          </w:tcPr>
          <w:p w14:paraId="249F7EE0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0 шт.</w:t>
            </w:r>
          </w:p>
        </w:tc>
        <w:tc>
          <w:tcPr>
            <w:tcW w:w="1047" w:type="dxa"/>
            <w:shd w:val="clear" w:color="auto" w:fill="auto"/>
          </w:tcPr>
          <w:p w14:paraId="15D3254E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0 шт.</w:t>
            </w:r>
          </w:p>
        </w:tc>
        <w:tc>
          <w:tcPr>
            <w:tcW w:w="1057" w:type="dxa"/>
            <w:shd w:val="clear" w:color="auto" w:fill="auto"/>
          </w:tcPr>
          <w:p w14:paraId="604AD137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0 шт.</w:t>
            </w:r>
          </w:p>
        </w:tc>
        <w:tc>
          <w:tcPr>
            <w:tcW w:w="981" w:type="dxa"/>
            <w:shd w:val="clear" w:color="auto" w:fill="auto"/>
          </w:tcPr>
          <w:p w14:paraId="31490771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0 шт.</w:t>
            </w:r>
          </w:p>
        </w:tc>
        <w:tc>
          <w:tcPr>
            <w:tcW w:w="1076" w:type="dxa"/>
            <w:shd w:val="clear" w:color="auto" w:fill="auto"/>
          </w:tcPr>
          <w:p w14:paraId="59AF596F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0 шт.</w:t>
            </w:r>
          </w:p>
        </w:tc>
        <w:tc>
          <w:tcPr>
            <w:tcW w:w="1161" w:type="dxa"/>
            <w:shd w:val="clear" w:color="auto" w:fill="auto"/>
          </w:tcPr>
          <w:p w14:paraId="3706D9EE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0 шт.</w:t>
            </w:r>
          </w:p>
        </w:tc>
        <w:tc>
          <w:tcPr>
            <w:tcW w:w="1114" w:type="dxa"/>
            <w:shd w:val="clear" w:color="auto" w:fill="auto"/>
          </w:tcPr>
          <w:p w14:paraId="1CE35ACD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0 шт.</w:t>
            </w:r>
          </w:p>
        </w:tc>
        <w:tc>
          <w:tcPr>
            <w:tcW w:w="1196" w:type="dxa"/>
            <w:shd w:val="clear" w:color="auto" w:fill="auto"/>
          </w:tcPr>
          <w:p w14:paraId="591F2E0F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0 шт.</w:t>
            </w:r>
          </w:p>
        </w:tc>
        <w:tc>
          <w:tcPr>
            <w:tcW w:w="1062" w:type="dxa"/>
            <w:shd w:val="clear" w:color="auto" w:fill="auto"/>
          </w:tcPr>
          <w:p w14:paraId="1C36C926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0 шт.</w:t>
            </w:r>
          </w:p>
        </w:tc>
      </w:tr>
      <w:tr w:rsidR="00987682" w:rsidRPr="007A6CCD" w14:paraId="7BC28126" w14:textId="77777777">
        <w:trPr>
          <w:trHeight w:val="300"/>
        </w:trPr>
        <w:tc>
          <w:tcPr>
            <w:tcW w:w="1828" w:type="dxa"/>
            <w:shd w:val="clear" w:color="auto" w:fill="auto"/>
            <w:vAlign w:val="bottom"/>
          </w:tcPr>
          <w:p w14:paraId="3B8F04F1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Кількість актів, що були повернуті на доопрацювання адвокатам двічі та більше разів</w:t>
            </w:r>
          </w:p>
        </w:tc>
        <w:tc>
          <w:tcPr>
            <w:tcW w:w="1086" w:type="dxa"/>
            <w:shd w:val="clear" w:color="auto" w:fill="auto"/>
          </w:tcPr>
          <w:p w14:paraId="78BD677E" w14:textId="77777777" w:rsidR="00987682" w:rsidRPr="007A6CCD" w:rsidRDefault="0030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періоду з початку року</w:t>
            </w:r>
          </w:p>
        </w:tc>
        <w:tc>
          <w:tcPr>
            <w:tcW w:w="960" w:type="dxa"/>
            <w:shd w:val="clear" w:color="auto" w:fill="auto"/>
          </w:tcPr>
          <w:p w14:paraId="153833BA" w14:textId="77777777" w:rsidR="00987682" w:rsidRPr="007A6CCD" w:rsidRDefault="0030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960" w:type="dxa"/>
            <w:shd w:val="clear" w:color="auto" w:fill="auto"/>
          </w:tcPr>
          <w:p w14:paraId="2825303A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27" w:type="dxa"/>
            <w:shd w:val="clear" w:color="auto" w:fill="auto"/>
          </w:tcPr>
          <w:p w14:paraId="35B7E9C0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06" w:type="dxa"/>
            <w:shd w:val="clear" w:color="auto" w:fill="auto"/>
          </w:tcPr>
          <w:p w14:paraId="6B8F4BEE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47" w:type="dxa"/>
            <w:shd w:val="clear" w:color="auto" w:fill="auto"/>
          </w:tcPr>
          <w:p w14:paraId="7360D9DA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57" w:type="dxa"/>
            <w:shd w:val="clear" w:color="auto" w:fill="auto"/>
          </w:tcPr>
          <w:p w14:paraId="65926BB7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981" w:type="dxa"/>
            <w:shd w:val="clear" w:color="auto" w:fill="auto"/>
          </w:tcPr>
          <w:p w14:paraId="3D3B3E7F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76" w:type="dxa"/>
            <w:shd w:val="clear" w:color="auto" w:fill="auto"/>
          </w:tcPr>
          <w:p w14:paraId="24D96102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61" w:type="dxa"/>
            <w:shd w:val="clear" w:color="auto" w:fill="auto"/>
          </w:tcPr>
          <w:p w14:paraId="426B5F85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14" w:type="dxa"/>
            <w:shd w:val="clear" w:color="auto" w:fill="auto"/>
          </w:tcPr>
          <w:p w14:paraId="2C3C4A55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96" w:type="dxa"/>
            <w:shd w:val="clear" w:color="auto" w:fill="auto"/>
          </w:tcPr>
          <w:p w14:paraId="1FFC70A1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62" w:type="dxa"/>
            <w:shd w:val="clear" w:color="auto" w:fill="auto"/>
          </w:tcPr>
          <w:p w14:paraId="32798A7C" w14:textId="77777777" w:rsidR="00987682" w:rsidRPr="007A6CCD" w:rsidRDefault="0030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14:paraId="6761B876" w14:textId="2AEE68A6" w:rsidR="00987682" w:rsidRPr="000513C0" w:rsidRDefault="003063D6" w:rsidP="0023545F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CCD">
        <w:rPr>
          <w:rFonts w:ascii="Times New Roman" w:eastAsia="Times New Roman" w:hAnsi="Times New Roman" w:cs="Times New Roman"/>
          <w:sz w:val="24"/>
          <w:szCs w:val="24"/>
        </w:rPr>
        <w:t>* оскільки міжрегіональні центри з надання безоплатної правничої допомоги не мають безпосереднього впливу на допущення помилок адвокатами під час підготовки актів надання безоплатної вторинної правничої допомоги, аналізується са</w:t>
      </w:r>
      <w:r w:rsidR="00CD3195">
        <w:rPr>
          <w:rFonts w:ascii="Times New Roman" w:eastAsia="Times New Roman" w:hAnsi="Times New Roman" w:cs="Times New Roman"/>
          <w:sz w:val="24"/>
          <w:szCs w:val="24"/>
        </w:rPr>
        <w:t>м факт і частота таких випадків</w:t>
      </w:r>
    </w:p>
    <w:sectPr w:rsidR="00987682" w:rsidRPr="000513C0" w:rsidSect="0023545F">
      <w:headerReference w:type="default" r:id="rId9"/>
      <w:pgSz w:w="16838" w:h="11906" w:orient="landscape"/>
      <w:pgMar w:top="1418" w:right="850" w:bottom="850" w:left="85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96C0A" w14:textId="77777777" w:rsidR="008A0001" w:rsidRDefault="008A0001">
      <w:pPr>
        <w:spacing w:after="0" w:line="240" w:lineRule="auto"/>
      </w:pPr>
      <w:r>
        <w:separator/>
      </w:r>
    </w:p>
  </w:endnote>
  <w:endnote w:type="continuationSeparator" w:id="0">
    <w:p w14:paraId="7E412951" w14:textId="77777777" w:rsidR="008A0001" w:rsidRDefault="008A0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E082B8B-335C-450C-91BA-4E4E4BAE9ACB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44176F64-582C-4B2C-9983-13632B87098B}"/>
    <w:embedBold r:id="rId3" w:fontKey="{EC38208F-8674-42CF-9F02-46F01BE8FD31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C3FC812-24CC-40E2-A7AB-890E4BE3C9E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C07A42BF-D91D-4FAF-9B9D-2B7F67682D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5B16B" w14:textId="77777777" w:rsidR="008A0001" w:rsidRDefault="008A0001">
      <w:pPr>
        <w:spacing w:after="0" w:line="240" w:lineRule="auto"/>
      </w:pPr>
      <w:r>
        <w:separator/>
      </w:r>
    </w:p>
  </w:footnote>
  <w:footnote w:type="continuationSeparator" w:id="0">
    <w:p w14:paraId="286A6F8B" w14:textId="77777777" w:rsidR="008A0001" w:rsidRDefault="008A0001">
      <w:pPr>
        <w:spacing w:after="0" w:line="240" w:lineRule="auto"/>
      </w:pPr>
      <w:r>
        <w:continuationSeparator/>
      </w:r>
    </w:p>
  </w:footnote>
  <w:footnote w:id="1">
    <w:p w14:paraId="6604EDCC" w14:textId="77777777" w:rsidR="00987682" w:rsidRDefault="003063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За умови наявності бюджетних асигнувань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3175937"/>
      <w:docPartObj>
        <w:docPartGallery w:val="Page Numbers (Top of Page)"/>
        <w:docPartUnique/>
      </w:docPartObj>
    </w:sdtPr>
    <w:sdtEndPr/>
    <w:sdtContent>
      <w:p w14:paraId="4646CD2C" w14:textId="3B3FE353" w:rsidR="00B37F71" w:rsidRDefault="00B37F71">
        <w:pPr>
          <w:pStyle w:val="aff2"/>
          <w:jc w:val="center"/>
        </w:pPr>
        <w:r w:rsidRPr="00B37F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37F7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37F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D3195" w:rsidRPr="00CD3195">
          <w:rPr>
            <w:rFonts w:ascii="Times New Roman" w:hAnsi="Times New Roman" w:cs="Times New Roman"/>
            <w:noProof/>
            <w:sz w:val="24"/>
            <w:szCs w:val="24"/>
            <w:lang w:val="uk-UA"/>
          </w:rPr>
          <w:t>2</w:t>
        </w:r>
        <w:r w:rsidRPr="00B37F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779A5FB" w14:textId="77777777" w:rsidR="00B37F71" w:rsidRDefault="00B37F71">
    <w:pPr>
      <w:pStyle w:val="af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1C4CB6"/>
    <w:multiLevelType w:val="multilevel"/>
    <w:tmpl w:val="69B47AA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74A06E24"/>
    <w:multiLevelType w:val="multilevel"/>
    <w:tmpl w:val="74B0122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682"/>
    <w:rsid w:val="000513C0"/>
    <w:rsid w:val="0023545F"/>
    <w:rsid w:val="003063D6"/>
    <w:rsid w:val="003231CC"/>
    <w:rsid w:val="00427F7B"/>
    <w:rsid w:val="00567B8C"/>
    <w:rsid w:val="007A6CCD"/>
    <w:rsid w:val="007A7616"/>
    <w:rsid w:val="007E0363"/>
    <w:rsid w:val="008A0001"/>
    <w:rsid w:val="00987682"/>
    <w:rsid w:val="009B17A0"/>
    <w:rsid w:val="00B37F71"/>
    <w:rsid w:val="00C801B8"/>
    <w:rsid w:val="00CD3195"/>
    <w:rsid w:val="00DD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12DDB"/>
  <w15:docId w15:val="{F0A5F155-8BD3-462F-A1B9-CC2821A46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3C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024D4C"/>
    <w:pPr>
      <w:ind w:left="720"/>
      <w:contextualSpacing/>
    </w:pPr>
  </w:style>
  <w:style w:type="table" w:styleId="a5">
    <w:name w:val="Table Grid"/>
    <w:basedOn w:val="a1"/>
    <w:uiPriority w:val="39"/>
    <w:rsid w:val="004E7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uiPriority w:val="9"/>
    <w:semiHidden/>
    <w:rsid w:val="006020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annotation text"/>
    <w:link w:val="af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5">
    <w:name w:val="Текст примітки Знак"/>
    <w:basedOn w:val="a0"/>
    <w:link w:val="af4"/>
    <w:uiPriority w:val="99"/>
    <w:semiHidden/>
    <w:rPr>
      <w:sz w:val="20"/>
      <w:szCs w:val="20"/>
    </w:rPr>
  </w:style>
  <w:style w:type="character" w:styleId="af6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7">
    <w:name w:val="annotation subject"/>
    <w:basedOn w:val="af4"/>
    <w:next w:val="af4"/>
    <w:link w:val="af8"/>
    <w:uiPriority w:val="99"/>
    <w:semiHidden/>
    <w:unhideWhenUsed/>
    <w:rsid w:val="00E116DA"/>
    <w:rPr>
      <w:b/>
      <w:bCs/>
    </w:rPr>
  </w:style>
  <w:style w:type="character" w:customStyle="1" w:styleId="af8">
    <w:name w:val="Тема примітки Знак"/>
    <w:basedOn w:val="af5"/>
    <w:link w:val="af7"/>
    <w:uiPriority w:val="99"/>
    <w:semiHidden/>
    <w:rsid w:val="00E116DA"/>
    <w:rPr>
      <w:b/>
      <w:bCs/>
      <w:sz w:val="20"/>
      <w:szCs w:val="20"/>
    </w:rPr>
  </w:style>
  <w:style w:type="paragraph" w:styleId="af9">
    <w:name w:val="footnote text"/>
    <w:link w:val="afa"/>
    <w:uiPriority w:val="99"/>
    <w:semiHidden/>
    <w:unhideWhenUsed/>
    <w:rsid w:val="00E142E8"/>
    <w:pPr>
      <w:spacing w:after="0" w:line="240" w:lineRule="auto"/>
    </w:pPr>
    <w:rPr>
      <w:sz w:val="20"/>
      <w:szCs w:val="20"/>
    </w:rPr>
  </w:style>
  <w:style w:type="character" w:customStyle="1" w:styleId="afa">
    <w:name w:val="Текст виноски Знак"/>
    <w:basedOn w:val="a0"/>
    <w:link w:val="af9"/>
    <w:uiPriority w:val="99"/>
    <w:semiHidden/>
    <w:rsid w:val="00E142E8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E142E8"/>
    <w:rPr>
      <w:vertAlign w:val="superscript"/>
    </w:rPr>
  </w:style>
  <w:style w:type="paragraph" w:styleId="a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header"/>
    <w:basedOn w:val="a"/>
    <w:link w:val="aff3"/>
    <w:uiPriority w:val="99"/>
    <w:unhideWhenUsed/>
    <w:rsid w:val="00B37F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f3">
    <w:name w:val="Верхній колонтитул Знак"/>
    <w:basedOn w:val="a0"/>
    <w:link w:val="aff2"/>
    <w:uiPriority w:val="99"/>
    <w:rsid w:val="00B37F71"/>
  </w:style>
  <w:style w:type="paragraph" w:styleId="aff4">
    <w:name w:val="footer"/>
    <w:basedOn w:val="a"/>
    <w:link w:val="aff5"/>
    <w:uiPriority w:val="99"/>
    <w:unhideWhenUsed/>
    <w:rsid w:val="00B37F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f5">
    <w:name w:val="Нижній колонтитул Знак"/>
    <w:basedOn w:val="a0"/>
    <w:link w:val="aff4"/>
    <w:uiPriority w:val="99"/>
    <w:rsid w:val="00B37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AaGd3RZnFvnLiJcaNO5cOw3Rmg==">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</go:docsCustomData>
</go:gDocsCustomXmlDataStorage>
</file>

<file path=customXml/itemProps1.xml><?xml version="1.0" encoding="utf-8"?>
<ds:datastoreItem xmlns:ds="http://schemas.openxmlformats.org/officeDocument/2006/customXml" ds:itemID="{C9E543BE-173E-48CA-A6B5-119C031D4F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1164</Words>
  <Characters>665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ВАСИЛЯКА</dc:creator>
  <cp:lastModifiedBy>Наталя ЛОПАТА</cp:lastModifiedBy>
  <cp:revision>3</cp:revision>
  <dcterms:created xsi:type="dcterms:W3CDTF">2026-04-02T14:19:00Z</dcterms:created>
  <dcterms:modified xsi:type="dcterms:W3CDTF">2026-04-02T14:46:00Z</dcterms:modified>
</cp:coreProperties>
</file>