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76" w:beforeAutospacing="0" w:afterAutospacing="0"/>
        <w:rPr>
          <w:rFonts w:ascii="Arial" w:hAnsi="Arial"/>
          <w:color w:val="000000"/>
          <w:sz w:val="22"/>
          <w:szCs w:val="22"/>
        </w:rPr>
      </w:pPr>
      <w:bookmarkStart w:id="0" w:name="_GoBack"/>
      <w:bookmarkEnd w:id="0"/>
    </w:p>
    <w:tbl>
      <w:tblPr>
        <w:tblStyle w:val="T5"/>
        <w:tblW w:w="10205" w:type="dxa"/>
        <w:tblInd w:w="0" w:type="dxa"/>
        <w:tblLayout w:type="fixed"/>
        <w:tblLook w:val="0000"/>
      </w:tblPr>
      <w:tblGrid/>
      <w:tr>
        <w:tc>
          <w:tcPr>
            <w:tcW w:w="5927" w:type="dxa"/>
            <w:tcMar>
              <w:left w:w="0" w:type="dxa"/>
              <w:right w:w="0" w:type="dxa"/>
            </w:tcMar>
          </w:tcPr>
          <w:p>
            <w:pPr>
              <w:rPr>
                <w:b w:val="1"/>
              </w:rPr>
            </w:pPr>
          </w:p>
          <w:p>
            <w:pPr>
              <w:spacing w:after="120" w:beforeAutospacing="0" w:afterAutospacing="0"/>
              <w:rPr>
                <w:color w:val="000000"/>
                <w:sz w:val="18"/>
                <w:szCs w:val="18"/>
              </w:rPr>
            </w:pPr>
          </w:p>
        </w:tc>
        <w:tc>
          <w:tcPr>
            <w:tcW w:w="4278" w:type="dxa"/>
            <w:tcMar>
              <w:left w:w="0" w:type="dxa"/>
              <w:right w:w="0" w:type="dxa"/>
            </w:tcMar>
          </w:tcPr>
          <w:p>
            <w:pPr>
              <w:ind w:left="57"/>
            </w:pPr>
            <w:r>
              <w:t>Додаток 8</w:t>
            </w:r>
          </w:p>
          <w:p>
            <w:pPr>
              <w:ind w:left="57"/>
            </w:pPr>
            <w:r>
              <w:t>до Порядку і умов укладення договорів з медіаторами, які залучаються центрами з надання безоплатної правничої допомоги</w:t>
            </w:r>
          </w:p>
          <w:p>
            <w:pPr>
              <w:ind w:left="0"/>
            </w:pPr>
          </w:p>
        </w:tc>
      </w:tr>
      <w:tr>
        <w:tc>
          <w:tcPr>
            <w:tcW w:w="5927" w:type="dxa"/>
            <w:tcMar>
              <w:left w:w="0" w:type="dxa"/>
              <w:right w:w="0" w:type="dxa"/>
            </w:tcMar>
          </w:tcPr>
          <w:p>
            <w:pPr>
              <w:rPr>
                <w:b w:val="1"/>
              </w:rPr>
            </w:pPr>
          </w:p>
        </w:tc>
        <w:tc>
          <w:tcPr>
            <w:tcW w:w="4278" w:type="dxa"/>
            <w:tcMar>
              <w:left w:w="0" w:type="dxa"/>
              <w:right w:w="0" w:type="dxa"/>
            </w:tcMar>
          </w:tcPr>
          <w:p>
            <w:pPr>
              <w:ind w:left="57"/>
            </w:pPr>
          </w:p>
        </w:tc>
      </w:tr>
    </w:tbl>
    <w:p>
      <w:pPr>
        <w:spacing w:before="200" w:after="200" w:beforeAutospacing="0" w:afterAutospacing="0"/>
        <w:jc w:val="center"/>
        <w:rPr>
          <w:b w:val="1"/>
        </w:rPr>
      </w:pPr>
      <w:r>
        <w:rPr>
          <w:b w:val="1"/>
        </w:rPr>
        <w:t xml:space="preserve">Розрахунок розміру витрат медіатора, пов’язаних із здійсненням заходів з підготовки до медіації та/або її проведенням </w:t>
      </w:r>
    </w:p>
    <w:p>
      <w:pPr>
        <w:spacing w:before="200" w:after="200" w:beforeAutospacing="0" w:afterAutospacing="0"/>
        <w:jc w:val="center"/>
        <w:rPr>
          <w:sz w:val="20"/>
          <w:szCs w:val="20"/>
        </w:rPr>
      </w:pPr>
      <w:r>
        <w:rPr>
          <w:sz w:val="20"/>
          <w:szCs w:val="20"/>
        </w:rPr>
        <w:t>на проїзд транспортом загального користування та/або придбання пально-мастильних матеріалів</w:t>
        <w:br w:type="textWrapping"/>
        <w:t>у разі використання власного транспортного засобу, що підлягають відшкодуванню</w:t>
      </w:r>
    </w:p>
    <w:p>
      <w:pPr>
        <w:spacing w:after="60" w:beforeAutospacing="0" w:afterAutospacing="0"/>
        <w:ind w:left="709"/>
        <w:jc w:val="center"/>
        <w:rPr>
          <w:b w:val="1"/>
        </w:rPr>
      </w:pPr>
      <w:r>
        <w:rPr>
          <w:color w:val="000000"/>
          <w:sz w:val="20"/>
          <w:szCs w:val="20"/>
        </w:rPr>
        <w:t>за Дорученням центру від __ __ / __ __ / __ __ __ __ № _____ – ________________</w:t>
      </w:r>
    </w:p>
    <w:p>
      <w:pPr>
        <w:spacing w:after="120" w:beforeAutospacing="0" w:afterAutospacing="0"/>
        <w:jc w:val="both"/>
        <w:rPr>
          <w:b w:val="1"/>
          <w:sz w:val="20"/>
          <w:szCs w:val="20"/>
        </w:rPr>
      </w:pPr>
      <w:r>
        <w:rPr>
          <w:b w:val="1"/>
          <w:sz w:val="20"/>
          <w:szCs w:val="20"/>
        </w:rPr>
        <w:t>1. Реєстр маршрутів проїзду медіатора у зв’язку з наданням послуг з медіації у разі використання власного транспортного засобу</w:t>
      </w:r>
    </w:p>
    <w:tbl>
      <w:tblPr>
        <w:tblStyle w:val="T5"/>
        <w:tblW w:w="10245"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Look w:val="0000"/>
      </w:tblPr>
      <w:tblGrid/>
      <w:tr>
        <w:trPr>
          <w:trHeight w:hRule="atLeast" w:val="264"/>
        </w:trPr>
        <w:tc>
          <w:tcPr>
            <w:tcW w:w="315" w:type="dxa"/>
            <w:vMerge w:val="restart"/>
            <w:tcMar>
              <w:top w:w="28" w:type="dxa"/>
              <w:left w:w="28" w:type="dxa"/>
              <w:bottom w:w="28" w:type="dxa"/>
              <w:right w:w="28" w:type="dxa"/>
            </w:tcMar>
            <w:vAlign w:val="center"/>
          </w:tcPr>
          <w:p>
            <w:pPr>
              <w:jc w:val="center"/>
              <w:rPr>
                <w:color w:val="000000"/>
                <w:sz w:val="16"/>
                <w:szCs w:val="16"/>
              </w:rPr>
            </w:pPr>
            <w:r>
              <w:rPr>
                <w:b w:val="1"/>
                <w:color w:val="000000"/>
                <w:sz w:val="16"/>
                <w:szCs w:val="16"/>
              </w:rPr>
              <w:t>№ з/п</w:t>
            </w:r>
          </w:p>
        </w:tc>
        <w:tc>
          <w:tcPr>
            <w:tcW w:w="1275" w:type="dxa"/>
            <w:vMerge w:val="restart"/>
            <w:tcMar>
              <w:top w:w="28" w:type="dxa"/>
              <w:left w:w="28" w:type="dxa"/>
              <w:bottom w:w="28" w:type="dxa"/>
              <w:right w:w="28" w:type="dxa"/>
            </w:tcMar>
            <w:vAlign w:val="center"/>
          </w:tcPr>
          <w:p>
            <w:pPr>
              <w:jc w:val="center"/>
              <w:rPr>
                <w:b w:val="1"/>
                <w:color w:val="000000"/>
                <w:sz w:val="18"/>
                <w:szCs w:val="18"/>
              </w:rPr>
            </w:pPr>
            <w:r>
              <w:rPr>
                <w:b w:val="1"/>
                <w:color w:val="000000"/>
                <w:sz w:val="18"/>
                <w:szCs w:val="18"/>
              </w:rPr>
              <w:t>Дата</w:t>
            </w:r>
          </w:p>
        </w:tc>
        <w:tc>
          <w:tcPr>
            <w:tcW w:w="7185" w:type="dxa"/>
            <w:gridSpan w:val="3"/>
            <w:tcMar>
              <w:top w:w="28" w:type="dxa"/>
              <w:left w:w="28" w:type="dxa"/>
              <w:bottom w:w="28" w:type="dxa"/>
              <w:right w:w="28" w:type="dxa"/>
            </w:tcMar>
            <w:vAlign w:val="center"/>
          </w:tcPr>
          <w:p>
            <w:pPr>
              <w:jc w:val="center"/>
              <w:rPr>
                <w:b w:val="1"/>
                <w:color w:val="000000"/>
                <w:sz w:val="18"/>
                <w:szCs w:val="18"/>
              </w:rPr>
            </w:pPr>
            <w:r>
              <w:rPr>
                <w:b w:val="1"/>
                <w:color w:val="000000"/>
                <w:sz w:val="18"/>
                <w:szCs w:val="18"/>
              </w:rPr>
              <w:t>Маршрут проїзду (адреси)</w:t>
            </w:r>
          </w:p>
        </w:tc>
        <w:tc>
          <w:tcPr>
            <w:tcW w:w="1470" w:type="dxa"/>
            <w:vMerge w:val="restart"/>
            <w:tcMar>
              <w:top w:w="28" w:type="dxa"/>
              <w:left w:w="28" w:type="dxa"/>
              <w:bottom w:w="28" w:type="dxa"/>
              <w:right w:w="28" w:type="dxa"/>
            </w:tcMar>
            <w:vAlign w:val="center"/>
          </w:tcPr>
          <w:p>
            <w:pPr>
              <w:jc w:val="center"/>
              <w:rPr>
                <w:b w:val="1"/>
                <w:color w:val="000000"/>
                <w:sz w:val="18"/>
                <w:szCs w:val="18"/>
              </w:rPr>
            </w:pPr>
            <w:r>
              <w:rPr>
                <w:b w:val="1"/>
                <w:sz w:val="18"/>
                <w:szCs w:val="18"/>
              </w:rPr>
              <w:t>Відстань</w:t>
            </w:r>
            <w:r>
              <w:rPr>
                <w:b w:val="1"/>
                <w:color w:val="000000"/>
                <w:sz w:val="18"/>
                <w:szCs w:val="18"/>
              </w:rPr>
              <w:t>, км</w:t>
            </w:r>
          </w:p>
        </w:tc>
      </w:tr>
      <w:tr>
        <w:trPr>
          <w:trHeight w:hRule="atLeast" w:val="205"/>
        </w:trPr>
        <w:tc>
          <w:tcPr>
            <w:tcW w:w="315" w:type="dxa"/>
            <w:vMerge w:val="continue"/>
            <w:tcMar>
              <w:top w:w="28" w:type="dxa"/>
              <w:left w:w="28" w:type="dxa"/>
              <w:bottom w:w="28" w:type="dxa"/>
              <w:right w:w="28" w:type="dxa"/>
            </w:tcMar>
            <w:vAlign w:val="center"/>
          </w:tcPr>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76" w:beforeAutospacing="0" w:afterAutospacing="0"/>
              <w:rPr>
                <w:b w:val="1"/>
                <w:color w:val="000000"/>
                <w:sz w:val="18"/>
                <w:szCs w:val="18"/>
              </w:rPr>
            </w:pPr>
          </w:p>
        </w:tc>
        <w:tc>
          <w:tcPr>
            <w:tcW w:w="1275" w:type="dxa"/>
            <w:vMerge w:val="continue"/>
            <w:tcMar>
              <w:top w:w="28" w:type="dxa"/>
              <w:left w:w="28" w:type="dxa"/>
              <w:bottom w:w="28" w:type="dxa"/>
              <w:right w:w="28" w:type="dxa"/>
            </w:tcMar>
            <w:vAlign w:val="center"/>
          </w:tcPr>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76" w:beforeAutospacing="0" w:afterAutospacing="0"/>
              <w:rPr>
                <w:b w:val="1"/>
                <w:color w:val="000000"/>
                <w:sz w:val="18"/>
                <w:szCs w:val="18"/>
              </w:rPr>
            </w:pPr>
          </w:p>
        </w:tc>
        <w:tc>
          <w:tcPr>
            <w:tcW w:w="1980" w:type="dxa"/>
            <w:tcMar>
              <w:top w:w="28" w:type="dxa"/>
              <w:left w:w="28" w:type="dxa"/>
              <w:bottom w:w="28" w:type="dxa"/>
              <w:right w:w="28" w:type="dxa"/>
            </w:tcMar>
            <w:vAlign w:val="center"/>
          </w:tcPr>
          <w:p>
            <w:pPr>
              <w:jc w:val="center"/>
              <w:rPr>
                <w:b w:val="1"/>
                <w:color w:val="000000"/>
                <w:sz w:val="18"/>
                <w:szCs w:val="18"/>
              </w:rPr>
            </w:pPr>
            <w:r>
              <w:rPr>
                <w:b w:val="1"/>
                <w:color w:val="000000"/>
                <w:sz w:val="18"/>
                <w:szCs w:val="18"/>
              </w:rPr>
              <w:t>початкова</w:t>
            </w:r>
          </w:p>
        </w:tc>
        <w:tc>
          <w:tcPr>
            <w:tcW w:w="3210" w:type="dxa"/>
            <w:tcMar>
              <w:top w:w="28" w:type="dxa"/>
              <w:left w:w="28" w:type="dxa"/>
              <w:bottom w:w="28" w:type="dxa"/>
              <w:right w:w="28" w:type="dxa"/>
            </w:tcMar>
            <w:vAlign w:val="center"/>
          </w:tcPr>
          <w:p>
            <w:pPr>
              <w:jc w:val="center"/>
              <w:rPr>
                <w:b w:val="1"/>
                <w:color w:val="000000"/>
                <w:sz w:val="18"/>
                <w:szCs w:val="18"/>
              </w:rPr>
            </w:pPr>
            <w:r>
              <w:rPr>
                <w:b w:val="1"/>
                <w:color w:val="000000"/>
                <w:sz w:val="18"/>
                <w:szCs w:val="18"/>
              </w:rPr>
              <w:t>місце проведення дії/дій</w:t>
            </w:r>
          </w:p>
        </w:tc>
        <w:tc>
          <w:tcPr>
            <w:tcW w:w="1995" w:type="dxa"/>
            <w:tcMar>
              <w:top w:w="28" w:type="dxa"/>
              <w:left w:w="28" w:type="dxa"/>
              <w:bottom w:w="28" w:type="dxa"/>
              <w:right w:w="28" w:type="dxa"/>
            </w:tcMar>
            <w:vAlign w:val="center"/>
          </w:tcPr>
          <w:p>
            <w:pPr>
              <w:jc w:val="center"/>
              <w:rPr>
                <w:b w:val="1"/>
                <w:color w:val="000000"/>
                <w:sz w:val="18"/>
                <w:szCs w:val="18"/>
              </w:rPr>
            </w:pPr>
            <w:r>
              <w:rPr>
                <w:b w:val="1"/>
                <w:color w:val="000000"/>
                <w:sz w:val="18"/>
                <w:szCs w:val="18"/>
              </w:rPr>
              <w:t>кінцева</w:t>
            </w:r>
          </w:p>
        </w:tc>
        <w:tc>
          <w:tcPr>
            <w:tcW w:w="1470" w:type="dxa"/>
            <w:vMerge w:val="continue"/>
            <w:tcMar>
              <w:top w:w="28" w:type="dxa"/>
              <w:left w:w="28" w:type="dxa"/>
              <w:bottom w:w="28" w:type="dxa"/>
              <w:right w:w="28" w:type="dxa"/>
            </w:tcMar>
            <w:vAlign w:val="center"/>
          </w:tcPr>
          <w:p>
            <w:pPr>
              <w:widowControl w:val="0"/>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76" w:beforeAutospacing="0" w:afterAutospacing="0"/>
              <w:rPr>
                <w:b w:val="1"/>
                <w:color w:val="000000"/>
                <w:sz w:val="18"/>
                <w:szCs w:val="18"/>
              </w:rPr>
            </w:pPr>
          </w:p>
        </w:tc>
      </w:tr>
      <w:tr>
        <w:trPr>
          <w:trHeight w:hRule="atLeast" w:val="323"/>
        </w:trPr>
        <w:tc>
          <w:tcPr>
            <w:tcW w:w="315" w:type="dxa"/>
            <w:tcMar>
              <w:top w:w="28" w:type="dxa"/>
              <w:left w:w="28" w:type="dxa"/>
              <w:bottom w:w="28" w:type="dxa"/>
              <w:right w:w="28" w:type="dxa"/>
            </w:tcMar>
          </w:tcPr>
          <w:p>
            <w:pPr>
              <w:jc w:val="both"/>
              <w:rPr>
                <w:color w:val="000000"/>
                <w:sz w:val="18"/>
                <w:szCs w:val="18"/>
              </w:rPr>
            </w:pPr>
            <w:r>
              <w:rPr>
                <w:color w:val="000000"/>
                <w:sz w:val="18"/>
                <w:szCs w:val="18"/>
              </w:rPr>
              <w:t>1</w:t>
            </w:r>
          </w:p>
        </w:tc>
        <w:tc>
          <w:tcPr>
            <w:tcW w:w="1275" w:type="dxa"/>
            <w:tcMar>
              <w:top w:w="28" w:type="dxa"/>
              <w:left w:w="28" w:type="dxa"/>
              <w:bottom w:w="28" w:type="dxa"/>
              <w:right w:w="28" w:type="dxa"/>
            </w:tcMar>
          </w:tcPr>
          <w:p>
            <w:pPr>
              <w:jc w:val="both"/>
              <w:rPr>
                <w:color w:val="000000"/>
                <w:sz w:val="18"/>
                <w:szCs w:val="18"/>
              </w:rPr>
            </w:pPr>
          </w:p>
        </w:tc>
        <w:tc>
          <w:tcPr>
            <w:tcW w:w="1980" w:type="dxa"/>
            <w:tcMar>
              <w:top w:w="28" w:type="dxa"/>
              <w:left w:w="28" w:type="dxa"/>
              <w:bottom w:w="28" w:type="dxa"/>
              <w:right w:w="28" w:type="dxa"/>
            </w:tcMar>
          </w:tcPr>
          <w:p>
            <w:pPr>
              <w:jc w:val="both"/>
              <w:rPr>
                <w:color w:val="000000"/>
                <w:sz w:val="18"/>
                <w:szCs w:val="18"/>
              </w:rPr>
            </w:pPr>
          </w:p>
        </w:tc>
        <w:tc>
          <w:tcPr>
            <w:tcW w:w="3210" w:type="dxa"/>
            <w:tcMar>
              <w:top w:w="28" w:type="dxa"/>
              <w:left w:w="28" w:type="dxa"/>
              <w:bottom w:w="28" w:type="dxa"/>
              <w:right w:w="28" w:type="dxa"/>
            </w:tcMar>
          </w:tcPr>
          <w:p>
            <w:pPr>
              <w:jc w:val="both"/>
              <w:rPr>
                <w:color w:val="000000"/>
                <w:sz w:val="18"/>
                <w:szCs w:val="18"/>
              </w:rPr>
            </w:pPr>
          </w:p>
        </w:tc>
        <w:tc>
          <w:tcPr>
            <w:tcW w:w="1995" w:type="dxa"/>
            <w:tcMar>
              <w:top w:w="28" w:type="dxa"/>
              <w:left w:w="28" w:type="dxa"/>
              <w:bottom w:w="28" w:type="dxa"/>
              <w:right w:w="28" w:type="dxa"/>
            </w:tcMar>
          </w:tcPr>
          <w:p>
            <w:pPr>
              <w:jc w:val="both"/>
              <w:rPr>
                <w:color w:val="000000"/>
                <w:sz w:val="18"/>
                <w:szCs w:val="18"/>
              </w:rPr>
            </w:pPr>
          </w:p>
        </w:tc>
        <w:tc>
          <w:tcPr>
            <w:tcW w:w="1470" w:type="dxa"/>
            <w:tcMar>
              <w:top w:w="28" w:type="dxa"/>
              <w:left w:w="28" w:type="dxa"/>
              <w:bottom w:w="28" w:type="dxa"/>
              <w:right w:w="28" w:type="dxa"/>
            </w:tcMar>
          </w:tcPr>
          <w:p>
            <w:pPr>
              <w:jc w:val="both"/>
              <w:rPr>
                <w:color w:val="000000"/>
                <w:sz w:val="18"/>
                <w:szCs w:val="18"/>
              </w:rPr>
            </w:pPr>
          </w:p>
        </w:tc>
      </w:tr>
      <w:tr>
        <w:trPr>
          <w:trHeight w:hRule="atLeast" w:val="347"/>
        </w:trPr>
        <w:tc>
          <w:tcPr>
            <w:tcW w:w="10245" w:type="dxa"/>
            <w:gridSpan w:val="6"/>
            <w:tcMar>
              <w:top w:w="28" w:type="dxa"/>
              <w:left w:w="28" w:type="dxa"/>
              <w:bottom w:w="28" w:type="dxa"/>
              <w:right w:w="28" w:type="dxa"/>
            </w:tcMar>
            <w:vAlign w:val="bottom"/>
          </w:tcPr>
          <w:p>
            <w:pPr>
              <w:jc w:val="center"/>
              <w:rPr>
                <w:sz w:val="12"/>
                <w:szCs w:val="12"/>
              </w:rPr>
            </w:pPr>
            <w:r>
              <w:rPr>
                <w:sz w:val="12"/>
                <w:szCs w:val="12"/>
              </w:rPr>
              <w:t xml:space="preserve">(найменування дії/дій) </w:t>
            </w:r>
          </w:p>
          <w:p>
            <w:pPr>
              <w:jc w:val="center"/>
              <w:rPr>
                <w:color w:val="000000"/>
                <w:sz w:val="12"/>
                <w:szCs w:val="12"/>
              </w:rPr>
            </w:pPr>
            <w:r>
              <w:rPr>
                <w:color w:val="000000"/>
                <w:sz w:val="12"/>
                <w:szCs w:val="12"/>
              </w:rPr>
              <w:t>_______ (л або м3) х ( ______ (км) / 100) х _______, _____ грн = _______, _____ грн.</w:t>
            </w:r>
          </w:p>
        </w:tc>
      </w:tr>
    </w:tbl>
    <w:p>
      <w:pPr>
        <w:spacing w:after="120" w:beforeAutospacing="0" w:afterAutospacing="0"/>
        <w:jc w:val="both"/>
        <w:rPr>
          <w:b w:val="1"/>
          <w:sz w:val="20"/>
          <w:szCs w:val="20"/>
        </w:rPr>
      </w:pPr>
    </w:p>
    <w:p>
      <w:pPr>
        <w:spacing w:after="120" w:beforeAutospacing="0" w:afterAutospacing="0"/>
        <w:jc w:val="both"/>
        <w:rPr>
          <w:b w:val="1"/>
          <w:sz w:val="20"/>
          <w:szCs w:val="20"/>
        </w:rPr>
      </w:pPr>
      <w:r>
        <w:rPr>
          <w:b w:val="1"/>
          <w:color w:val="000000"/>
          <w:sz w:val="20"/>
          <w:szCs w:val="20"/>
        </w:rPr>
        <w:t xml:space="preserve">Розрахунок витрат на придбання пально-мастильних матеріалів </w:t>
      </w:r>
      <w:r>
        <w:rPr>
          <w:color w:val="000000"/>
          <w:sz w:val="20"/>
          <w:szCs w:val="20"/>
        </w:rPr>
        <w:t xml:space="preserve">(у разі використання власного транспортного засобу) </w:t>
      </w:r>
      <w:r>
        <w:rPr>
          <w:sz w:val="20"/>
          <w:szCs w:val="20"/>
        </w:rPr>
        <w:t xml:space="preserve">(Р </w:t>
      </w:r>
      <w:r>
        <w:rPr>
          <w:sz w:val="20"/>
          <w:szCs w:val="20"/>
          <w:vertAlign w:val="subscript"/>
        </w:rPr>
        <w:t>вит</w:t>
      </w:r>
      <w:r>
        <w:rPr>
          <w:sz w:val="20"/>
          <w:szCs w:val="20"/>
        </w:rPr>
        <w:t>) обчислюється за такою формулою:</w:t>
      </w:r>
    </w:p>
    <w:tbl>
      <w:tblPr>
        <w:tblStyle w:val="T5"/>
        <w:tblW w:w="8889" w:type="dxa"/>
        <w:tblInd w:w="0" w:type="dxa"/>
        <w:tblLayout w:type="fixed"/>
        <w:tblLook w:val="0000"/>
      </w:tblPr>
      <w:tblGrid/>
      <w:tr>
        <w:tc>
          <w:tcPr>
            <w:tcW w:w="1858" w:type="dxa"/>
            <w:tcMar>
              <w:left w:w="28" w:type="dxa"/>
              <w:right w:w="28" w:type="dxa"/>
            </w:tcMar>
          </w:tcPr>
          <w:p>
            <w:pPr>
              <w:jc w:val="both"/>
              <w:rPr>
                <w:sz w:val="20"/>
                <w:szCs w:val="20"/>
              </w:rPr>
            </w:pPr>
            <w:r>
              <w:rPr>
                <w:sz w:val="20"/>
                <w:szCs w:val="20"/>
              </w:rPr>
              <w:t xml:space="preserve">Р </w:t>
            </w:r>
            <w:r>
              <w:rPr>
                <w:sz w:val="20"/>
                <w:szCs w:val="20"/>
                <w:vertAlign w:val="subscript"/>
              </w:rPr>
              <w:t>вит =</w:t>
            </w:r>
            <w:r>
              <w:rPr>
                <w:sz w:val="20"/>
                <w:szCs w:val="20"/>
              </w:rPr>
              <w:t xml:space="preserve"> Н (л </w:t>
            </w:r>
            <w:r>
              <w:rPr>
                <w:sz w:val="16"/>
                <w:szCs w:val="16"/>
              </w:rPr>
              <w:t>або</w:t>
            </w:r>
            <w:r>
              <w:rPr>
                <w:sz w:val="20"/>
                <w:szCs w:val="20"/>
              </w:rPr>
              <w:t xml:space="preserve"> м</w:t>
            </w:r>
            <w:r>
              <w:rPr>
                <w:sz w:val="20"/>
                <w:szCs w:val="20"/>
                <w:vertAlign w:val="superscript"/>
              </w:rPr>
              <w:t>3</w:t>
            </w:r>
            <w:r>
              <w:rPr>
                <w:sz w:val="20"/>
                <w:szCs w:val="20"/>
              </w:rPr>
              <w:t xml:space="preserve">) х </w:t>
            </w:r>
          </w:p>
        </w:tc>
        <w:tc>
          <w:tcPr>
            <w:tcW w:w="1835" w:type="dxa"/>
            <w:tcMar>
              <w:left w:w="28" w:type="dxa"/>
              <w:right w:w="28" w:type="dxa"/>
            </w:tcMar>
          </w:tcPr>
          <w:p>
            <w:pPr>
              <w:jc w:val="both"/>
              <w:rPr>
                <w:sz w:val="20"/>
                <w:szCs w:val="20"/>
              </w:rPr>
            </w:pPr>
            <w:r>
              <w:rPr>
                <w:sz w:val="20"/>
                <w:szCs w:val="20"/>
              </w:rPr>
              <w:t xml:space="preserve">(СВ (км) / 100) х </w:t>
            </w:r>
          </w:p>
        </w:tc>
        <w:tc>
          <w:tcPr>
            <w:tcW w:w="1552" w:type="dxa"/>
            <w:tcMar>
              <w:left w:w="28" w:type="dxa"/>
              <w:right w:w="28" w:type="dxa"/>
            </w:tcMar>
          </w:tcPr>
          <w:p>
            <w:pPr>
              <w:jc w:val="both"/>
              <w:rPr>
                <w:sz w:val="20"/>
                <w:szCs w:val="20"/>
                <w:vertAlign w:val="superscript"/>
              </w:rPr>
            </w:pPr>
            <w:r>
              <w:rPr>
                <w:sz w:val="21"/>
                <w:szCs w:val="21"/>
              </w:rPr>
              <w:t>Ц ___,___ грн</w:t>
            </w:r>
            <w:r>
              <w:rPr>
                <w:sz w:val="20"/>
                <w:szCs w:val="20"/>
              </w:rPr>
              <w:t xml:space="preserve"> = </w:t>
            </w:r>
          </w:p>
        </w:tc>
        <w:tc>
          <w:tcPr>
            <w:tcW w:w="3644" w:type="dxa"/>
            <w:tcMar>
              <w:left w:w="28" w:type="dxa"/>
              <w:right w:w="28" w:type="dxa"/>
            </w:tcMar>
          </w:tcPr>
          <w:p>
            <w:pPr>
              <w:jc w:val="both"/>
              <w:rPr>
                <w:sz w:val="20"/>
                <w:szCs w:val="20"/>
              </w:rPr>
            </w:pPr>
            <w:r>
              <w:rPr>
                <w:sz w:val="21"/>
                <w:szCs w:val="21"/>
              </w:rPr>
              <w:t xml:space="preserve">       ______,___ грн.</w:t>
            </w:r>
          </w:p>
        </w:tc>
      </w:tr>
      <w:tr>
        <w:trPr>
          <w:trHeight w:hRule="atLeast" w:val="658"/>
        </w:trPr>
        <w:tc>
          <w:tcPr>
            <w:tcW w:w="1858" w:type="dxa"/>
            <w:tcMar>
              <w:left w:w="28" w:type="dxa"/>
              <w:right w:w="28" w:type="dxa"/>
            </w:tcMar>
          </w:tcPr>
          <w:p>
            <w:pPr>
              <w:ind w:right="680"/>
              <w:jc w:val="center"/>
              <w:rPr>
                <w:sz w:val="14"/>
                <w:szCs w:val="14"/>
              </w:rPr>
            </w:pPr>
            <w:r>
              <w:rPr>
                <w:sz w:val="14"/>
                <w:szCs w:val="14"/>
              </w:rPr>
              <w:t>(норма витрат пального на 100 км)</w:t>
            </w:r>
          </w:p>
          <w:p>
            <w:pPr>
              <w:ind w:right="680"/>
              <w:rPr>
                <w:sz w:val="14"/>
                <w:szCs w:val="14"/>
              </w:rPr>
            </w:pPr>
          </w:p>
        </w:tc>
        <w:tc>
          <w:tcPr>
            <w:tcW w:w="1835" w:type="dxa"/>
            <w:tcMar>
              <w:left w:w="28" w:type="dxa"/>
              <w:right w:w="28" w:type="dxa"/>
            </w:tcMar>
          </w:tcPr>
          <w:p>
            <w:pPr>
              <w:tabs>
                <w:tab w:val="left" w:pos="966" w:leader="none"/>
              </w:tabs>
              <w:ind w:right="822"/>
              <w:rPr>
                <w:sz w:val="14"/>
                <w:szCs w:val="14"/>
              </w:rPr>
            </w:pPr>
            <w:r>
              <w:rPr>
                <w:sz w:val="14"/>
                <w:szCs w:val="14"/>
              </w:rPr>
              <w:t>(сумарна відстань)</w:t>
            </w:r>
          </w:p>
        </w:tc>
        <w:tc>
          <w:tcPr>
            <w:tcW w:w="1552" w:type="dxa"/>
            <w:tcMar>
              <w:left w:w="28" w:type="dxa"/>
              <w:right w:w="28" w:type="dxa"/>
            </w:tcMar>
          </w:tcPr>
          <w:p>
            <w:pPr>
              <w:ind w:right="426"/>
              <w:rPr>
                <w:sz w:val="14"/>
                <w:szCs w:val="14"/>
              </w:rPr>
            </w:pPr>
            <w:r>
              <w:rPr>
                <w:sz w:val="14"/>
                <w:szCs w:val="14"/>
              </w:rPr>
              <w:t>(ціна/вартість 1 л або м</w:t>
            </w:r>
            <w:r>
              <w:rPr>
                <w:sz w:val="14"/>
                <w:szCs w:val="14"/>
                <w:vertAlign w:val="superscript"/>
              </w:rPr>
              <w:t>3</w:t>
            </w:r>
            <w:r>
              <w:rPr>
                <w:sz w:val="14"/>
                <w:szCs w:val="14"/>
              </w:rPr>
              <w:t xml:space="preserve"> пального)</w:t>
            </w:r>
          </w:p>
        </w:tc>
        <w:tc>
          <w:tcPr>
            <w:tcW w:w="3644" w:type="dxa"/>
            <w:tcMar>
              <w:left w:w="28" w:type="dxa"/>
              <w:right w:w="28" w:type="dxa"/>
            </w:tcMar>
          </w:tcPr>
          <w:p>
            <w:pPr>
              <w:rPr>
                <w:b w:val="1"/>
                <w:sz w:val="14"/>
                <w:szCs w:val="14"/>
              </w:rPr>
            </w:pPr>
          </w:p>
        </w:tc>
      </w:tr>
    </w:tbl>
    <w:p>
      <w:pPr>
        <w:ind w:firstLine="700"/>
        <w:jc w:val="both"/>
        <w:rPr>
          <w:sz w:val="20"/>
          <w:szCs w:val="20"/>
          <w:vertAlign w:val="subscript"/>
        </w:rPr>
      </w:pPr>
      <w:r>
        <w:rPr>
          <w:sz w:val="20"/>
          <w:szCs w:val="20"/>
        </w:rPr>
        <w:t xml:space="preserve">Де Н </w:t>
      </w:r>
      <w:r>
        <w:rPr>
          <w:sz w:val="20"/>
          <w:szCs w:val="20"/>
          <w:vertAlign w:val="subscript"/>
        </w:rPr>
        <w:t>(л або м3)</w:t>
      </w:r>
      <w:r>
        <w:rPr>
          <w:sz w:val="20"/>
          <w:szCs w:val="20"/>
        </w:rPr>
        <w:t xml:space="preserve"> – норма витрат пального на 100 км (лінійна норма витрат палива);</w:t>
      </w:r>
    </w:p>
    <w:p>
      <w:pPr>
        <w:ind w:firstLine="700"/>
        <w:jc w:val="both"/>
        <w:rPr>
          <w:sz w:val="14"/>
          <w:szCs w:val="14"/>
        </w:rPr>
      </w:pPr>
    </w:p>
    <w:p>
      <w:pPr>
        <w:ind w:firstLine="700"/>
        <w:jc w:val="both"/>
        <w:rPr>
          <w:sz w:val="20"/>
          <w:szCs w:val="20"/>
        </w:rPr>
      </w:pPr>
      <w:r>
        <w:rPr>
          <w:sz w:val="20"/>
          <w:szCs w:val="20"/>
        </w:rPr>
        <w:t xml:space="preserve">СВ </w:t>
      </w:r>
      <w:r>
        <w:rPr>
          <w:sz w:val="20"/>
          <w:szCs w:val="20"/>
          <w:vertAlign w:val="subscript"/>
        </w:rPr>
        <w:t>(км)</w:t>
      </w:r>
      <w:r>
        <w:rPr>
          <w:sz w:val="20"/>
          <w:szCs w:val="20"/>
        </w:rPr>
        <w:t xml:space="preserve">  – сума відстаней від місця проживання медіатора або місця, в </w:t>
      </w:r>
      <w:r>
        <w:rPr>
          <w:sz w:val="20"/>
          <w:szCs w:val="20"/>
          <w:highlight w:val="white"/>
        </w:rPr>
        <w:t xml:space="preserve">якому зареєстроване місце діяльності медіатора, до місця </w:t>
      </w:r>
      <w:r>
        <w:rPr>
          <w:sz w:val="20"/>
          <w:szCs w:val="20"/>
        </w:rPr>
        <w:t>підготовки до медіації, її проведення і в зворотному напрямку;</w:t>
      </w:r>
    </w:p>
    <w:p>
      <w:pPr>
        <w:ind w:firstLine="700"/>
        <w:jc w:val="both"/>
        <w:rPr>
          <w:sz w:val="12"/>
          <w:szCs w:val="12"/>
        </w:rPr>
      </w:pPr>
    </w:p>
    <w:p>
      <w:pPr>
        <w:ind w:firstLine="700"/>
        <w:jc w:val="both"/>
        <w:rPr>
          <w:sz w:val="20"/>
          <w:szCs w:val="20"/>
        </w:rPr>
      </w:pPr>
      <w:r>
        <w:rPr>
          <w:sz w:val="20"/>
          <w:szCs w:val="20"/>
        </w:rPr>
        <w:t xml:space="preserve">Ц </w:t>
      </w:r>
      <w:r>
        <w:rPr>
          <w:sz w:val="20"/>
          <w:szCs w:val="20"/>
          <w:vertAlign w:val="subscript"/>
        </w:rPr>
        <w:t xml:space="preserve">(грн) </w:t>
      </w:r>
      <w:r>
        <w:rPr>
          <w:sz w:val="20"/>
          <w:szCs w:val="20"/>
        </w:rPr>
        <w:t>– вартість 1 л або м3 пального, розрахована як вартість пального, яка зазначена в чекові, із врахуванням знижки в разі її наявності поділена на кількість такого пального.</w:t>
      </w:r>
    </w:p>
    <w:p>
      <w:pPr>
        <w:ind w:firstLine="708"/>
        <w:jc w:val="both"/>
        <w:rPr>
          <w:sz w:val="20"/>
          <w:szCs w:val="20"/>
        </w:rPr>
      </w:pPr>
      <w:r>
        <w:rPr>
          <w:sz w:val="20"/>
          <w:szCs w:val="20"/>
        </w:rPr>
        <w:t>З метою визначення відстані для розрахунку витрат палива застосовуються сучасні інформаційні технології та супутникові системи навігації тощо. Для підтвердження відстані медіатором надається роздруківка маршруту із Google Maps, або іншої інформаційної, супутникової системи навігації тощо.</w:t>
      </w:r>
    </w:p>
    <w:p>
      <w:pPr>
        <w:ind w:firstLine="708"/>
        <w:jc w:val="both"/>
        <w:rPr>
          <w:sz w:val="10"/>
          <w:szCs w:val="10"/>
          <w:highlight w:val="yellow"/>
        </w:rPr>
      </w:pPr>
    </w:p>
    <w:p>
      <w:pPr>
        <w:jc w:val="both"/>
        <w:rPr>
          <w:b w:val="1"/>
          <w:sz w:val="20"/>
          <w:szCs w:val="20"/>
        </w:rPr>
      </w:pPr>
      <w:r>
        <w:rPr>
          <w:b w:val="1"/>
          <w:sz w:val="20"/>
          <w:szCs w:val="20"/>
        </w:rPr>
        <w:t>2. Реєстр маршрутів проїзду медіатора у зв’язку з наданням послуг з медіації у разі використання транспорту загального користування</w:t>
      </w:r>
    </w:p>
    <w:p>
      <w:pPr>
        <w:jc w:val="both"/>
        <w:rPr>
          <w:b w:val="1"/>
          <w:sz w:val="20"/>
          <w:szCs w:val="20"/>
        </w:rPr>
      </w:pPr>
    </w:p>
    <w:tbl>
      <w:tblPr>
        <w:tblStyle w:val="T5"/>
        <w:tblW w:w="10245"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Look w:val="0000"/>
      </w:tblPr>
      <w:tblGrid/>
      <w:tr>
        <w:trPr>
          <w:trHeight w:hRule="atLeast" w:val="255"/>
        </w:trPr>
        <w:tc>
          <w:tcPr>
            <w:tcW w:w="315" w:type="dxa"/>
            <w:vMerge w:val="restart"/>
            <w:tcMar>
              <w:top w:w="28" w:type="dxa"/>
              <w:left w:w="28" w:type="dxa"/>
              <w:bottom w:w="28" w:type="dxa"/>
              <w:right w:w="28" w:type="dxa"/>
            </w:tcMar>
            <w:vAlign w:val="center"/>
          </w:tcPr>
          <w:p>
            <w:pPr>
              <w:jc w:val="center"/>
              <w:rPr>
                <w:sz w:val="16"/>
                <w:szCs w:val="16"/>
              </w:rPr>
            </w:pPr>
            <w:r>
              <w:rPr>
                <w:b w:val="1"/>
                <w:sz w:val="16"/>
                <w:szCs w:val="16"/>
              </w:rPr>
              <w:t>№ з/п</w:t>
            </w:r>
          </w:p>
        </w:tc>
        <w:tc>
          <w:tcPr>
            <w:tcW w:w="1275" w:type="dxa"/>
            <w:vMerge w:val="restart"/>
            <w:tcMar>
              <w:top w:w="28" w:type="dxa"/>
              <w:left w:w="28" w:type="dxa"/>
              <w:bottom w:w="28" w:type="dxa"/>
              <w:right w:w="28" w:type="dxa"/>
            </w:tcMar>
            <w:vAlign w:val="center"/>
          </w:tcPr>
          <w:p>
            <w:pPr>
              <w:jc w:val="center"/>
              <w:rPr>
                <w:b w:val="1"/>
                <w:sz w:val="18"/>
                <w:szCs w:val="18"/>
              </w:rPr>
            </w:pPr>
            <w:r>
              <w:rPr>
                <w:b w:val="1"/>
                <w:sz w:val="18"/>
                <w:szCs w:val="18"/>
              </w:rPr>
              <w:t>Дата</w:t>
            </w:r>
          </w:p>
        </w:tc>
        <w:tc>
          <w:tcPr>
            <w:tcW w:w="7080" w:type="dxa"/>
            <w:gridSpan w:val="3"/>
            <w:tcMar>
              <w:top w:w="28" w:type="dxa"/>
              <w:left w:w="28" w:type="dxa"/>
              <w:bottom w:w="28" w:type="dxa"/>
              <w:right w:w="28" w:type="dxa"/>
            </w:tcMar>
            <w:vAlign w:val="center"/>
          </w:tcPr>
          <w:p>
            <w:pPr>
              <w:jc w:val="center"/>
              <w:rPr>
                <w:b w:val="1"/>
                <w:sz w:val="18"/>
                <w:szCs w:val="18"/>
              </w:rPr>
            </w:pPr>
            <w:r>
              <w:rPr>
                <w:b w:val="1"/>
                <w:sz w:val="18"/>
                <w:szCs w:val="18"/>
              </w:rPr>
              <w:t>Маршрут проїзду (адреси)</w:t>
            </w:r>
          </w:p>
        </w:tc>
        <w:tc>
          <w:tcPr>
            <w:tcW w:w="1575" w:type="dxa"/>
            <w:vMerge w:val="restart"/>
            <w:tcMar>
              <w:top w:w="28" w:type="dxa"/>
              <w:left w:w="28" w:type="dxa"/>
              <w:bottom w:w="28" w:type="dxa"/>
              <w:right w:w="28" w:type="dxa"/>
            </w:tcMar>
            <w:vAlign w:val="center"/>
          </w:tcPr>
          <w:p>
            <w:pPr>
              <w:jc w:val="center"/>
              <w:rPr>
                <w:b w:val="1"/>
                <w:sz w:val="18"/>
                <w:szCs w:val="18"/>
              </w:rPr>
            </w:pPr>
            <w:r>
              <w:rPr>
                <w:b w:val="1"/>
                <w:sz w:val="18"/>
                <w:szCs w:val="18"/>
              </w:rPr>
              <w:t>Вартість проїзного квитка або квитанції (чеку) про сплату вартості проїзду</w:t>
            </w:r>
          </w:p>
        </w:tc>
      </w:tr>
      <w:tr>
        <w:trPr>
          <w:trHeight w:hRule="atLeast" w:val="764"/>
        </w:trPr>
        <w:tc>
          <w:tcPr>
            <w:tcW w:w="315" w:type="dxa"/>
            <w:vMerge w:val="continue"/>
            <w:tcMar>
              <w:top w:w="28" w:type="dxa"/>
              <w:left w:w="28" w:type="dxa"/>
              <w:bottom w:w="28" w:type="dxa"/>
              <w:right w:w="28" w:type="dxa"/>
            </w:tcMar>
            <w:vAlign w:val="center"/>
          </w:tcPr>
          <w:p>
            <w:pPr>
              <w:widowControl w:val="0"/>
              <w:spacing w:lineRule="auto" w:line="276" w:beforeAutospacing="0" w:afterAutospacing="0"/>
              <w:rPr>
                <w:b w:val="1"/>
                <w:sz w:val="18"/>
                <w:szCs w:val="18"/>
              </w:rPr>
            </w:pPr>
          </w:p>
        </w:tc>
        <w:tc>
          <w:tcPr>
            <w:tcW w:w="1275" w:type="dxa"/>
            <w:vMerge w:val="continue"/>
            <w:tcMar>
              <w:top w:w="28" w:type="dxa"/>
              <w:left w:w="28" w:type="dxa"/>
              <w:bottom w:w="28" w:type="dxa"/>
              <w:right w:w="28" w:type="dxa"/>
            </w:tcMar>
            <w:vAlign w:val="center"/>
          </w:tcPr>
          <w:p>
            <w:pPr>
              <w:widowControl w:val="0"/>
              <w:spacing w:lineRule="auto" w:line="276" w:beforeAutospacing="0" w:afterAutospacing="0"/>
              <w:rPr>
                <w:b w:val="1"/>
                <w:sz w:val="18"/>
                <w:szCs w:val="18"/>
              </w:rPr>
            </w:pPr>
          </w:p>
        </w:tc>
        <w:tc>
          <w:tcPr>
            <w:tcW w:w="1980" w:type="dxa"/>
            <w:tcMar>
              <w:top w:w="28" w:type="dxa"/>
              <w:left w:w="28" w:type="dxa"/>
              <w:bottom w:w="28" w:type="dxa"/>
              <w:right w:w="28" w:type="dxa"/>
            </w:tcMar>
            <w:vAlign w:val="center"/>
          </w:tcPr>
          <w:p>
            <w:pPr>
              <w:jc w:val="center"/>
              <w:rPr>
                <w:b w:val="1"/>
                <w:sz w:val="18"/>
                <w:szCs w:val="18"/>
              </w:rPr>
            </w:pPr>
            <w:r>
              <w:rPr>
                <w:b w:val="1"/>
                <w:sz w:val="18"/>
                <w:szCs w:val="18"/>
              </w:rPr>
              <w:t>початкова</w:t>
            </w:r>
          </w:p>
        </w:tc>
        <w:tc>
          <w:tcPr>
            <w:tcW w:w="3165" w:type="dxa"/>
            <w:tcMar>
              <w:top w:w="28" w:type="dxa"/>
              <w:left w:w="28" w:type="dxa"/>
              <w:bottom w:w="28" w:type="dxa"/>
              <w:right w:w="28" w:type="dxa"/>
            </w:tcMar>
            <w:vAlign w:val="center"/>
          </w:tcPr>
          <w:p>
            <w:pPr>
              <w:jc w:val="center"/>
              <w:rPr>
                <w:b w:val="1"/>
                <w:sz w:val="18"/>
                <w:szCs w:val="18"/>
              </w:rPr>
            </w:pPr>
            <w:r>
              <w:rPr>
                <w:b w:val="1"/>
                <w:sz w:val="18"/>
                <w:szCs w:val="18"/>
              </w:rPr>
              <w:t>місце проведення дії/дій</w:t>
            </w:r>
          </w:p>
        </w:tc>
        <w:tc>
          <w:tcPr>
            <w:tcW w:w="1935" w:type="dxa"/>
            <w:tcMar>
              <w:top w:w="28" w:type="dxa"/>
              <w:left w:w="28" w:type="dxa"/>
              <w:bottom w:w="28" w:type="dxa"/>
              <w:right w:w="28" w:type="dxa"/>
            </w:tcMar>
            <w:vAlign w:val="center"/>
          </w:tcPr>
          <w:p>
            <w:pPr>
              <w:jc w:val="center"/>
              <w:rPr>
                <w:b w:val="1"/>
                <w:sz w:val="18"/>
                <w:szCs w:val="18"/>
              </w:rPr>
            </w:pPr>
            <w:r>
              <w:rPr>
                <w:b w:val="1"/>
                <w:sz w:val="18"/>
                <w:szCs w:val="18"/>
              </w:rPr>
              <w:t>кінцева</w:t>
            </w:r>
          </w:p>
        </w:tc>
        <w:tc>
          <w:tcPr>
            <w:tcW w:w="1575" w:type="dxa"/>
            <w:vMerge w:val="continue"/>
            <w:tcMar>
              <w:top w:w="28" w:type="dxa"/>
              <w:left w:w="28" w:type="dxa"/>
              <w:bottom w:w="28" w:type="dxa"/>
              <w:right w:w="28" w:type="dxa"/>
            </w:tcMar>
            <w:vAlign w:val="center"/>
          </w:tcPr>
          <w:p>
            <w:pPr>
              <w:widowControl w:val="0"/>
              <w:spacing w:lineRule="auto" w:line="276" w:beforeAutospacing="0" w:afterAutospacing="0"/>
              <w:rPr>
                <w:b w:val="1"/>
                <w:sz w:val="18"/>
                <w:szCs w:val="18"/>
              </w:rPr>
            </w:pPr>
          </w:p>
        </w:tc>
      </w:tr>
      <w:tr>
        <w:trPr>
          <w:trHeight w:hRule="atLeast" w:val="450"/>
        </w:trPr>
        <w:tc>
          <w:tcPr>
            <w:tcW w:w="315" w:type="dxa"/>
            <w:tcMar>
              <w:top w:w="28" w:type="dxa"/>
              <w:left w:w="28" w:type="dxa"/>
              <w:bottom w:w="28" w:type="dxa"/>
              <w:right w:w="28" w:type="dxa"/>
            </w:tcMar>
          </w:tcPr>
          <w:p>
            <w:pPr>
              <w:jc w:val="both"/>
              <w:rPr>
                <w:sz w:val="18"/>
                <w:szCs w:val="18"/>
              </w:rPr>
            </w:pPr>
            <w:r>
              <w:rPr>
                <w:sz w:val="18"/>
                <w:szCs w:val="18"/>
              </w:rPr>
              <w:t>1</w:t>
            </w:r>
          </w:p>
        </w:tc>
        <w:tc>
          <w:tcPr>
            <w:tcW w:w="1275" w:type="dxa"/>
            <w:tcMar>
              <w:top w:w="28" w:type="dxa"/>
              <w:left w:w="28" w:type="dxa"/>
              <w:bottom w:w="28" w:type="dxa"/>
              <w:right w:w="28" w:type="dxa"/>
            </w:tcMar>
          </w:tcPr>
          <w:p>
            <w:pPr>
              <w:jc w:val="both"/>
              <w:rPr>
                <w:sz w:val="18"/>
                <w:szCs w:val="18"/>
              </w:rPr>
            </w:pPr>
          </w:p>
        </w:tc>
        <w:tc>
          <w:tcPr>
            <w:tcW w:w="1980" w:type="dxa"/>
            <w:tcMar>
              <w:top w:w="28" w:type="dxa"/>
              <w:left w:w="28" w:type="dxa"/>
              <w:bottom w:w="28" w:type="dxa"/>
              <w:right w:w="28" w:type="dxa"/>
            </w:tcMar>
          </w:tcPr>
          <w:p>
            <w:pPr>
              <w:jc w:val="both"/>
              <w:rPr>
                <w:sz w:val="18"/>
                <w:szCs w:val="18"/>
              </w:rPr>
            </w:pPr>
          </w:p>
        </w:tc>
        <w:tc>
          <w:tcPr>
            <w:tcW w:w="3165" w:type="dxa"/>
            <w:tcMar>
              <w:top w:w="28" w:type="dxa"/>
              <w:left w:w="28" w:type="dxa"/>
              <w:bottom w:w="28" w:type="dxa"/>
              <w:right w:w="28" w:type="dxa"/>
            </w:tcMar>
          </w:tcPr>
          <w:p>
            <w:pPr>
              <w:jc w:val="both"/>
              <w:rPr>
                <w:sz w:val="18"/>
                <w:szCs w:val="18"/>
              </w:rPr>
            </w:pPr>
          </w:p>
        </w:tc>
        <w:tc>
          <w:tcPr>
            <w:tcW w:w="1935" w:type="dxa"/>
            <w:tcMar>
              <w:top w:w="28" w:type="dxa"/>
              <w:left w:w="28" w:type="dxa"/>
              <w:bottom w:w="28" w:type="dxa"/>
              <w:right w:w="28" w:type="dxa"/>
            </w:tcMar>
          </w:tcPr>
          <w:p>
            <w:pPr>
              <w:jc w:val="both"/>
              <w:rPr>
                <w:sz w:val="18"/>
                <w:szCs w:val="18"/>
              </w:rPr>
            </w:pPr>
          </w:p>
        </w:tc>
        <w:tc>
          <w:tcPr>
            <w:tcW w:w="1575" w:type="dxa"/>
            <w:tcMar>
              <w:top w:w="28" w:type="dxa"/>
              <w:left w:w="28" w:type="dxa"/>
              <w:bottom w:w="28" w:type="dxa"/>
              <w:right w:w="28" w:type="dxa"/>
            </w:tcMar>
          </w:tcPr>
          <w:p>
            <w:pPr>
              <w:jc w:val="both"/>
              <w:rPr>
                <w:sz w:val="18"/>
                <w:szCs w:val="18"/>
              </w:rPr>
            </w:pPr>
          </w:p>
        </w:tc>
      </w:tr>
      <w:tr>
        <w:trPr>
          <w:trHeight w:hRule="atLeast" w:val="252"/>
        </w:trPr>
        <w:tc>
          <w:tcPr>
            <w:tcW w:w="8670" w:type="dxa"/>
            <w:gridSpan w:val="5"/>
            <w:tcMar>
              <w:top w:w="28" w:type="dxa"/>
              <w:left w:w="28" w:type="dxa"/>
              <w:bottom w:w="28" w:type="dxa"/>
              <w:right w:w="28" w:type="dxa"/>
            </w:tcMar>
          </w:tcPr>
          <w:p>
            <w:pPr>
              <w:jc w:val="both"/>
              <w:rPr>
                <w:sz w:val="18"/>
                <w:szCs w:val="18"/>
              </w:rPr>
            </w:pPr>
            <w:r>
              <w:rPr>
                <w:sz w:val="18"/>
                <w:szCs w:val="18"/>
              </w:rPr>
              <w:t>Загальна вартість усіх проїзних квитків та/або квитанцій (чеків) про про сплату вартості проїзду</w:t>
            </w:r>
          </w:p>
        </w:tc>
        <w:tc>
          <w:tcPr>
            <w:tcW w:w="1575" w:type="dxa"/>
            <w:tcMar>
              <w:top w:w="28" w:type="dxa"/>
              <w:left w:w="28" w:type="dxa"/>
              <w:bottom w:w="28" w:type="dxa"/>
              <w:right w:w="28" w:type="dxa"/>
            </w:tcMar>
          </w:tcPr>
          <w:p>
            <w:pPr>
              <w:jc w:val="both"/>
              <w:rPr>
                <w:b w:val="1"/>
                <w:sz w:val="18"/>
                <w:szCs w:val="18"/>
              </w:rPr>
            </w:pPr>
          </w:p>
        </w:tc>
      </w:tr>
    </w:tbl>
    <w:p>
      <w:pPr>
        <w:jc w:val="both"/>
        <w:rPr>
          <w:b w:val="1"/>
          <w:sz w:val="20"/>
          <w:szCs w:val="20"/>
        </w:rPr>
      </w:pPr>
    </w:p>
    <w:p>
      <w:pPr>
        <w:jc w:val="both"/>
        <w:rPr>
          <w:sz w:val="21"/>
          <w:szCs w:val="21"/>
          <w:vertAlign w:val="superscript"/>
        </w:rPr>
      </w:pPr>
      <w:r>
        <w:rPr>
          <w:b w:val="1"/>
          <w:sz w:val="20"/>
          <w:szCs w:val="20"/>
        </w:rPr>
        <w:t>3. Загальний розмір</w:t>
      </w:r>
      <w:r>
        <w:rPr>
          <w:b w:val="1"/>
          <w:color w:val="000000"/>
          <w:sz w:val="20"/>
          <w:szCs w:val="20"/>
        </w:rPr>
        <w:t xml:space="preserve"> витрат, що підлягають відшкодуванню, становить </w:t>
      </w:r>
      <w:r>
        <w:rPr>
          <w:sz w:val="21"/>
          <w:szCs w:val="21"/>
        </w:rPr>
        <w:t>_______________,_______ грн.</w:t>
      </w:r>
      <w:r>
        <w:rPr>
          <w:sz w:val="21"/>
          <w:szCs w:val="21"/>
          <w:vertAlign w:val="superscript"/>
        </w:rPr>
        <w:t>1</w:t>
      </w:r>
    </w:p>
    <w:p>
      <w:pPr>
        <w:rPr>
          <w:sz w:val="21"/>
          <w:szCs w:val="21"/>
        </w:rPr>
      </w:pPr>
      <w:r>
        <w:rPr>
          <w:sz w:val="14"/>
          <w:szCs w:val="14"/>
          <w:vertAlign w:val="superscript"/>
        </w:rPr>
        <w:t xml:space="preserve">1 </w:t>
      </w:r>
      <w:r>
        <w:rPr>
          <w:sz w:val="14"/>
          <w:szCs w:val="14"/>
        </w:rPr>
        <w:t>Розраховується шляхом додавання загальної вартості на придбання пально-мастильних матеріалів та загальної вартості усіх проїзних квитків та/або квитанцій (чеків) про сплату вартості проїзду</w:t>
      </w:r>
    </w:p>
    <w:p>
      <w:pPr>
        <w:spacing w:before="120" w:beforeAutospacing="0" w:afterAutospacing="0"/>
        <w:jc w:val="both"/>
        <w:rPr>
          <w:color w:val="000000"/>
          <w:sz w:val="20"/>
          <w:szCs w:val="20"/>
        </w:rPr>
      </w:pPr>
      <w:r>
        <w:rPr>
          <w:b w:val="1"/>
          <w:sz w:val="20"/>
          <w:szCs w:val="20"/>
        </w:rPr>
        <w:t>4</w:t>
      </w:r>
      <w:r>
        <w:rPr>
          <w:b w:val="1"/>
          <w:color w:val="000000"/>
          <w:sz w:val="20"/>
          <w:szCs w:val="20"/>
        </w:rPr>
        <w:t>. Документи, що підтверджують вказані витрати</w:t>
      </w:r>
      <w:r>
        <w:rPr>
          <w:color w:val="000000"/>
          <w:sz w:val="20"/>
          <w:szCs w:val="20"/>
        </w:rPr>
        <w:t xml:space="preserve"> (відмітити потрібне) (додаються в кількості ____ одиниць):</w:t>
      </w:r>
    </w:p>
    <w:p>
      <w:pPr>
        <w:jc w:val="both"/>
      </w:pPr>
      <w:r>
        <w:rPr>
          <w:rFonts w:ascii="Arial Unicode MS" w:hAnsi="Arial Unicode MS"/>
          <w:sz w:val="20"/>
          <w:szCs w:val="20"/>
        </w:rPr>
        <w:t xml:space="preserve">☐ </w:t>
      </w:r>
      <w:r>
        <w:rPr>
          <w:sz w:val="20"/>
          <w:szCs w:val="20"/>
        </w:rPr>
        <w:t xml:space="preserve">копія реєстраційного документа на транспортний засіб </w:t>
      </w:r>
      <w:r>
        <w:rPr>
          <w:sz w:val="20"/>
          <w:szCs w:val="20"/>
          <w:vertAlign w:val="superscript"/>
        </w:rPr>
        <w:t>2</w:t>
      </w:r>
    </w:p>
    <w:p>
      <w:pPr>
        <w:jc w:val="both"/>
        <w:rPr>
          <w:sz w:val="20"/>
          <w:szCs w:val="20"/>
        </w:rPr>
      </w:pPr>
      <w:r>
        <w:rPr>
          <w:rFonts w:ascii="Arial Unicode MS" w:hAnsi="Arial Unicode MS"/>
          <w:sz w:val="20"/>
          <w:szCs w:val="20"/>
        </w:rPr>
        <w:t xml:space="preserve">☐ </w:t>
      </w:r>
      <w:r>
        <w:rPr>
          <w:sz w:val="20"/>
          <w:szCs w:val="20"/>
        </w:rPr>
        <w:t>копія документа, що підтверджує право користування транспортним засобом</w:t>
      </w:r>
    </w:p>
    <w:p>
      <w:pPr>
        <w:spacing w:before="60" w:beforeAutospacing="0" w:afterAutospacing="0"/>
        <w:jc w:val="both"/>
        <w:rPr>
          <w:sz w:val="20"/>
          <w:szCs w:val="20"/>
        </w:rPr>
      </w:pPr>
      <w:r>
        <w:rPr>
          <w:rFonts w:ascii="Arial Unicode MS" w:hAnsi="Arial Unicode MS"/>
          <w:sz w:val="20"/>
          <w:szCs w:val="20"/>
        </w:rPr>
        <w:t xml:space="preserve">☐ </w:t>
      </w:r>
      <w:r>
        <w:rPr>
          <w:sz w:val="20"/>
          <w:szCs w:val="20"/>
        </w:rPr>
        <w:t>копія посвідчення водія</w:t>
      </w:r>
    </w:p>
    <w:p>
      <w:pPr>
        <w:spacing w:before="60" w:beforeAutospacing="0" w:afterAutospacing="0"/>
        <w:jc w:val="both"/>
        <w:rPr>
          <w:sz w:val="20"/>
          <w:szCs w:val="20"/>
        </w:rPr>
      </w:pPr>
      <w:r>
        <w:rPr>
          <w:rFonts w:ascii="Arial Unicode MS" w:hAnsi="Arial Unicode MS"/>
          <w:sz w:val="20"/>
          <w:szCs w:val="20"/>
        </w:rPr>
        <w:t xml:space="preserve">☐ </w:t>
      </w:r>
      <w:r>
        <w:rPr>
          <w:sz w:val="20"/>
          <w:szCs w:val="20"/>
        </w:rPr>
        <w:t>квитанції (чеки) на придбання пально-мастильних матеріалів</w:t>
      </w:r>
    </w:p>
    <w:p>
      <w:pPr>
        <w:spacing w:before="60" w:beforeAutospacing="0" w:afterAutospacing="0"/>
        <w:jc w:val="both"/>
        <w:rPr>
          <w:sz w:val="20"/>
          <w:szCs w:val="20"/>
        </w:rPr>
      </w:pPr>
      <w:r>
        <w:rPr>
          <w:rFonts w:ascii="Arial Unicode MS" w:hAnsi="Arial Unicode MS"/>
          <w:sz w:val="20"/>
          <w:szCs w:val="20"/>
        </w:rPr>
        <w:t xml:space="preserve">☐ </w:t>
      </w:r>
      <w:r>
        <w:rPr>
          <w:sz w:val="20"/>
          <w:szCs w:val="20"/>
        </w:rPr>
        <w:t>проїзні квитки та/або квитанції (чеки) про сплату вартості проїзду</w:t>
      </w:r>
    </w:p>
    <w:p>
      <w:pPr>
        <w:jc w:val="both"/>
        <w:rPr>
          <w:color w:val="000000"/>
          <w:sz w:val="20"/>
          <w:szCs w:val="20"/>
        </w:rPr>
      </w:pPr>
      <w:r>
        <w:rPr>
          <w:rFonts w:ascii="Arial Unicode MS" w:hAnsi="Arial Unicode MS"/>
          <w:sz w:val="20"/>
          <w:szCs w:val="20"/>
        </w:rPr>
        <w:t xml:space="preserve">☐ </w:t>
      </w:r>
      <w:r>
        <w:rPr>
          <w:sz w:val="20"/>
          <w:szCs w:val="20"/>
        </w:rPr>
        <w:t>інше (зазначити)</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rPr>
          <w:sz w:val="14"/>
          <w:szCs w:val="14"/>
        </w:rPr>
      </w:pPr>
      <w:r>
        <w:rPr>
          <w:sz w:val="14"/>
          <w:szCs w:val="14"/>
          <w:vertAlign w:val="superscript"/>
        </w:rPr>
        <w:t xml:space="preserve">2 </w:t>
      </w:r>
      <w:r>
        <w:rPr>
          <w:color w:val="000000"/>
          <w:sz w:val="14"/>
          <w:szCs w:val="14"/>
        </w:rPr>
        <w:t xml:space="preserve">У разі якщо подається вперше в межах виконання поточного </w:t>
      </w:r>
      <w:r>
        <w:rPr>
          <w:sz w:val="14"/>
          <w:szCs w:val="14"/>
        </w:rPr>
        <w:t>д</w:t>
      </w:r>
      <w:r>
        <w:rPr>
          <w:color w:val="000000"/>
          <w:sz w:val="14"/>
          <w:szCs w:val="14"/>
        </w:rPr>
        <w:t>оговору з медіатором про відшкодування вит</w:t>
      </w:r>
      <w:r>
        <w:rPr>
          <w:sz w:val="14"/>
          <w:szCs w:val="14"/>
        </w:rPr>
        <w:t>рат, пов'язаних з наданням послуг з медіації.</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rPr>
          <w:sz w:val="10"/>
          <w:szCs w:val="10"/>
          <w:highlight w:val="yellow"/>
        </w:rPr>
      </w:pPr>
    </w:p>
    <w:p>
      <w:pPr>
        <w:spacing w:after="240" w:beforeAutospacing="0" w:afterAutospacing="0"/>
        <w:rPr>
          <w:color w:val="000000"/>
          <w:sz w:val="16"/>
          <w:szCs w:val="16"/>
        </w:rPr>
      </w:pPr>
      <w:r>
        <w:rPr>
          <w:color w:val="000000"/>
          <w:sz w:val="20"/>
          <w:szCs w:val="20"/>
        </w:rPr>
        <w:t xml:space="preserve">Достовірність інформації, зазначеної у цьому </w:t>
      </w:r>
      <w:r>
        <w:rPr>
          <w:sz w:val="20"/>
          <w:szCs w:val="20"/>
        </w:rPr>
        <w:t>розрахунку</w:t>
      </w:r>
      <w:r>
        <w:rPr>
          <w:color w:val="000000"/>
          <w:sz w:val="20"/>
          <w:szCs w:val="20"/>
        </w:rPr>
        <w:t>, підтверджую.</w:t>
      </w:r>
    </w:p>
    <w:tbl>
      <w:tblPr>
        <w:tblStyle w:val="T5"/>
        <w:tblW w:w="10314" w:type="dxa"/>
        <w:tblInd w:w="0" w:type="dxa"/>
        <w:tblLayout w:type="fixed"/>
        <w:tblLook w:val="0000"/>
      </w:tblPr>
      <w:tblGrid/>
      <w:tr>
        <w:trPr>
          <w:trHeight w:hRule="atLeast" w:val="353"/>
        </w:trPr>
        <w:tc>
          <w:tcPr>
            <w:tcW w:w="5548" w:type="dxa"/>
            <w:tcMar>
              <w:left w:w="28" w:type="dxa"/>
              <w:right w:w="28" w:type="dxa"/>
            </w:tcMar>
          </w:tcPr>
          <w:p>
            <w:pPr>
              <w:jc w:val="both"/>
              <w:rPr>
                <w:color w:val="000000"/>
                <w:sz w:val="20"/>
                <w:szCs w:val="20"/>
              </w:rPr>
            </w:pPr>
            <w:r>
              <w:rPr>
                <w:b w:val="1"/>
                <w:sz w:val="20"/>
                <w:szCs w:val="20"/>
              </w:rPr>
              <w:t>Складено та п</w:t>
            </w:r>
            <w:r>
              <w:rPr>
                <w:b w:val="1"/>
                <w:color w:val="000000"/>
                <w:sz w:val="20"/>
                <w:szCs w:val="20"/>
              </w:rPr>
              <w:t>одано до центру</w:t>
            </w:r>
            <w:r>
              <w:rPr>
                <w:color w:val="000000"/>
                <w:sz w:val="20"/>
                <w:szCs w:val="20"/>
              </w:rPr>
              <w:t xml:space="preserve"> __ __ / __ __ / __ __ __ __</w:t>
            </w:r>
          </w:p>
        </w:tc>
        <w:tc>
          <w:tcPr>
            <w:tcW w:w="4766" w:type="dxa"/>
            <w:tcMar>
              <w:left w:w="28" w:type="dxa"/>
              <w:right w:w="28" w:type="dxa"/>
            </w:tcMar>
          </w:tcPr>
          <w:p>
            <w:pPr>
              <w:rPr>
                <w:color w:val="000000"/>
                <w:sz w:val="20"/>
                <w:szCs w:val="20"/>
              </w:rPr>
            </w:pPr>
            <w:r>
              <w:rPr>
                <w:color w:val="000000"/>
                <w:sz w:val="20"/>
                <w:szCs w:val="20"/>
              </w:rPr>
              <w:t xml:space="preserve"> _____________________________________________</w:t>
            </w:r>
          </w:p>
        </w:tc>
      </w:tr>
    </w:tbl>
    <w:p>
      <w:pPr>
        <w:spacing w:after="240" w:beforeAutospacing="0" w:afterAutospacing="0"/>
        <w:ind w:firstLine="706" w:left="2834"/>
        <w:rPr>
          <w:color w:val="000000"/>
          <w:sz w:val="16"/>
          <w:szCs w:val="16"/>
        </w:rPr>
      </w:pPr>
      <w:r>
        <w:rPr>
          <w:color w:val="000000"/>
          <w:sz w:val="16"/>
          <w:szCs w:val="16"/>
        </w:rPr>
        <w:t>(дата)</w:t>
        <w:tab/>
        <w:tab/>
        <w:t xml:space="preserve">                     (підпис/квал</w:t>
      </w:r>
      <w:r>
        <w:rPr>
          <w:sz w:val="16"/>
          <w:szCs w:val="16"/>
        </w:rPr>
        <w:t>іфікований електронний підпис</w:t>
      </w:r>
      <w:r>
        <w:rPr>
          <w:color w:val="000000"/>
          <w:sz w:val="16"/>
          <w:szCs w:val="16"/>
        </w:rPr>
        <w:t xml:space="preserve"> медіатора)</w:t>
      </w:r>
    </w:p>
    <w:tbl>
      <w:tblPr>
        <w:tblStyle w:val="T5"/>
        <w:tblW w:w="10376" w:type="dxa"/>
        <w:tblInd w:w="0" w:type="dxa"/>
        <w:tblLayout w:type="fixed"/>
        <w:tblLook w:val="0000"/>
      </w:tblPr>
      <w:tblGrid/>
      <w:tr>
        <w:trPr>
          <w:trHeight w:hRule="atLeast" w:val="353"/>
        </w:trPr>
        <w:tc>
          <w:tcPr>
            <w:tcW w:w="3794" w:type="dxa"/>
            <w:tcMar>
              <w:left w:w="28" w:type="dxa"/>
              <w:right w:w="28" w:type="dxa"/>
            </w:tcMar>
          </w:tcPr>
          <w:p>
            <w:pPr>
              <w:jc w:val="both"/>
              <w:rPr>
                <w:color w:val="000000"/>
                <w:sz w:val="20"/>
                <w:szCs w:val="20"/>
              </w:rPr>
            </w:pPr>
            <w:r>
              <w:rPr>
                <w:b w:val="1"/>
                <w:color w:val="000000"/>
                <w:sz w:val="20"/>
                <w:szCs w:val="20"/>
              </w:rPr>
              <w:t>Прийнято</w:t>
            </w:r>
            <w:r>
              <w:rPr>
                <w:color w:val="000000"/>
                <w:sz w:val="20"/>
                <w:szCs w:val="20"/>
              </w:rPr>
              <w:t xml:space="preserve"> __ __ / __ __ / __ __ __ __</w:t>
            </w:r>
          </w:p>
        </w:tc>
        <w:tc>
          <w:tcPr>
            <w:tcW w:w="4739" w:type="dxa"/>
            <w:tcMar>
              <w:left w:w="28" w:type="dxa"/>
              <w:right w:w="28" w:type="dxa"/>
            </w:tcMar>
          </w:tcPr>
          <w:p>
            <w:pPr>
              <w:rPr>
                <w:color w:val="000000"/>
                <w:sz w:val="20"/>
                <w:szCs w:val="20"/>
              </w:rPr>
            </w:pPr>
            <w:r>
              <w:rPr>
                <w:b w:val="1"/>
                <w:color w:val="000000"/>
                <w:sz w:val="20"/>
                <w:szCs w:val="20"/>
              </w:rPr>
              <w:t>Центр</w:t>
            </w:r>
            <w:r>
              <w:rPr>
                <w:color w:val="000000"/>
                <w:sz w:val="20"/>
                <w:szCs w:val="20"/>
              </w:rPr>
              <w:t xml:space="preserve"> _______________________________________</w:t>
            </w:r>
          </w:p>
        </w:tc>
        <w:tc>
          <w:tcPr>
            <w:tcW w:w="1843" w:type="dxa"/>
          </w:tcPr>
          <w:p>
            <w:pPr>
              <w:rPr>
                <w:color w:val="000000"/>
                <w:sz w:val="20"/>
                <w:szCs w:val="20"/>
              </w:rPr>
            </w:pPr>
            <w:r>
              <w:rPr>
                <w:color w:val="000000"/>
                <w:sz w:val="20"/>
                <w:szCs w:val="20"/>
              </w:rPr>
              <w:t>________________</w:t>
            </w:r>
          </w:p>
        </w:tc>
      </w:tr>
    </w:tbl>
    <w:p>
      <w:pPr>
        <w:ind w:left="1418"/>
        <w:rPr>
          <w:color w:val="000000"/>
          <w:sz w:val="16"/>
          <w:szCs w:val="16"/>
        </w:rPr>
      </w:pPr>
      <w:r>
        <w:rPr>
          <w:color w:val="000000"/>
          <w:sz w:val="16"/>
          <w:szCs w:val="16"/>
        </w:rPr>
        <w:t>(дата)</w:t>
        <w:tab/>
        <w:tab/>
      </w:r>
      <w:r>
        <w:rPr>
          <w:sz w:val="16"/>
          <w:szCs w:val="16"/>
        </w:rPr>
        <w:t xml:space="preserve">                                                 </w:t>
      </w:r>
      <w:r>
        <w:rPr>
          <w:color w:val="000000"/>
          <w:sz w:val="16"/>
          <w:szCs w:val="16"/>
        </w:rPr>
        <w:t>(прізвище, ініціали уповноваженої особи)</w:t>
        <w:tab/>
      </w:r>
      <w:r>
        <w:rPr>
          <w:sz w:val="16"/>
          <w:szCs w:val="16"/>
        </w:rPr>
        <w:t xml:space="preserve">               </w:t>
      </w:r>
      <w:r>
        <w:rPr>
          <w:color w:val="000000"/>
          <w:sz w:val="16"/>
          <w:szCs w:val="16"/>
        </w:rPr>
        <w:t>(підпис/кваліфікований</w:t>
      </w:r>
    </w:p>
    <w:p>
      <w:pPr>
        <w:ind w:firstLine="720" w:left="7200"/>
        <w:rPr>
          <w:color w:val="808080"/>
          <w:sz w:val="16"/>
          <w:szCs w:val="16"/>
        </w:rPr>
      </w:pPr>
      <w:r>
        <w:rPr>
          <w:sz w:val="16"/>
          <w:szCs w:val="16"/>
        </w:rPr>
        <w:t xml:space="preserve">                  електронний підпис</w:t>
      </w:r>
      <w:r>
        <w:rPr>
          <w:color w:val="000000"/>
          <w:sz w:val="16"/>
          <w:szCs w:val="16"/>
        </w:rPr>
        <w:t>)</w:t>
      </w:r>
    </w:p>
    <w:sectPr>
      <w:footerReference xmlns:r="http://schemas.openxmlformats.org/officeDocument/2006/relationships" w:type="default" r:id="RelFtr1"/>
      <w:footnotePr/>
      <w:endnotePr/>
      <w:type w:val="nextPage"/>
      <w:pgSz w:w="11906" w:h="16838" w:code="0"/>
      <w:pgMar w:left="1134" w:right="567" w:top="360" w:bottom="360" w:header="709" w:footer="709" w:gutter="0"/>
      <w:pgNumType w:start="1" w:chapSep="period"/>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imes New Roman" w:hAnsi="Times New Roman"/>
        <w:sz w:val="24"/>
        <w:szCs w:val="24"/>
        <w:lang w:val="ru-RU" w:bidi="ar-SA" w:eastAsia="uk-UA"/>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lang w:eastAsia="ru-RU"/>
    </w:rPr>
  </w:style>
  <w:style w:type="paragraph" w:styleId="P1">
    <w:name w:val="heading 1"/>
    <w:basedOn w:val="P0"/>
    <w:next w:val="P0"/>
    <w:pPr>
      <w:keepNext w:val="1"/>
      <w:keepLines w:val="1"/>
      <w:spacing w:before="480" w:after="120" w:beforeAutospacing="0" w:afterAutospacing="0"/>
      <w:outlineLvl w:val="0"/>
    </w:pPr>
    <w:rPr>
      <w:b w:val="1"/>
      <w:sz w:val="48"/>
      <w:szCs w:val="48"/>
    </w:rPr>
  </w:style>
  <w:style w:type="paragraph" w:styleId="P2">
    <w:name w:val="heading 2"/>
    <w:basedOn w:val="P0"/>
    <w:next w:val="P0"/>
    <w:pPr>
      <w:keepNext w:val="1"/>
      <w:keepLines w:val="1"/>
      <w:spacing w:before="360" w:after="80" w:beforeAutospacing="0" w:afterAutospacing="0"/>
      <w:outlineLvl w:val="1"/>
    </w:pPr>
    <w:rPr>
      <w:b w:val="1"/>
      <w:sz w:val="36"/>
      <w:szCs w:val="36"/>
    </w:rPr>
  </w:style>
  <w:style w:type="paragraph" w:styleId="P3">
    <w:name w:val="heading 3"/>
    <w:basedOn w:val="P0"/>
    <w:link w:val="C8"/>
    <w:qFormat/>
    <w:pPr>
      <w:spacing w:before="100" w:after="100" w:beforeAutospacing="1" w:afterAutospacing="1"/>
      <w:outlineLvl w:val="2"/>
    </w:pPr>
    <w:rPr>
      <w:b w:val="1"/>
      <w:bCs w:val="1"/>
      <w:sz w:val="27"/>
      <w:szCs w:val="27"/>
      <w:lang w:val="uk-UA" w:eastAsia="uk-UA"/>
    </w:rPr>
  </w:style>
  <w:style w:type="paragraph" w:styleId="P4">
    <w:name w:val="heading 4"/>
    <w:basedOn w:val="P0"/>
    <w:next w:val="P0"/>
    <w:pPr>
      <w:keepNext w:val="1"/>
      <w:keepLines w:val="1"/>
      <w:spacing w:before="240" w:after="40" w:beforeAutospacing="0" w:afterAutospacing="0"/>
      <w:outlineLvl w:val="3"/>
    </w:pPr>
    <w:rPr>
      <w:b w:val="1"/>
    </w:rPr>
  </w:style>
  <w:style w:type="paragraph" w:styleId="P5">
    <w:name w:val="heading 5"/>
    <w:basedOn w:val="P0"/>
    <w:next w:val="P0"/>
    <w:pPr>
      <w:keepNext w:val="1"/>
      <w:keepLines w:val="1"/>
      <w:spacing w:before="220" w:after="40" w:beforeAutospacing="0" w:afterAutospacing="0"/>
      <w:outlineLvl w:val="4"/>
    </w:pPr>
    <w:rPr>
      <w:b w:val="1"/>
      <w:sz w:val="22"/>
      <w:szCs w:val="22"/>
    </w:rPr>
  </w:style>
  <w:style w:type="paragraph" w:styleId="P6">
    <w:name w:val="heading 6"/>
    <w:basedOn w:val="P0"/>
    <w:next w:val="P0"/>
    <w:pPr>
      <w:keepNext w:val="1"/>
      <w:keepLines w:val="1"/>
      <w:spacing w:before="200" w:after="40" w:beforeAutospacing="0" w:afterAutospacing="0"/>
      <w:outlineLvl w:val="5"/>
    </w:pPr>
    <w:rPr>
      <w:b w:val="1"/>
      <w:sz w:val="20"/>
      <w:szCs w:val="20"/>
    </w:rPr>
  </w:style>
  <w:style w:type="paragraph" w:styleId="P7">
    <w:name w:val="Title"/>
    <w:basedOn w:val="P0"/>
    <w:next w:val="P0"/>
    <w:pPr>
      <w:keepNext w:val="1"/>
      <w:keepLines w:val="1"/>
      <w:spacing w:before="480" w:after="120" w:beforeAutospacing="0" w:afterAutospacing="0"/>
    </w:pPr>
    <w:rPr>
      <w:b w:val="1"/>
      <w:sz w:val="72"/>
      <w:szCs w:val="72"/>
    </w:rPr>
  </w:style>
  <w:style w:type="paragraph" w:styleId="P8">
    <w:name w:val="footnote text"/>
    <w:basedOn w:val="P0"/>
    <w:link w:val="C3"/>
    <w:semiHidden/>
    <w:pPr/>
    <w:rPr>
      <w:sz w:val="20"/>
      <w:szCs w:val="20"/>
    </w:rPr>
  </w:style>
  <w:style w:type="paragraph" w:styleId="P9">
    <w:name w:val="Normal (Web)"/>
    <w:basedOn w:val="P0"/>
    <w:pPr>
      <w:spacing w:before="100" w:after="100" w:beforeAutospacing="1" w:afterAutospacing="1"/>
    </w:pPr>
    <w:rPr>
      <w:lang/>
    </w:rPr>
  </w:style>
  <w:style w:type="paragraph" w:styleId="P10">
    <w:name w:val="Subtitle"/>
    <w:basedOn w:val="P0"/>
    <w:next w:val="P0"/>
    <w:pPr>
      <w:keepNext w:val="1"/>
      <w:keepLines w:val="1"/>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360" w:after="80" w:beforeAutospacing="0" w:afterAutospacing="0"/>
    </w:pPr>
    <w:rPr>
      <w:rFonts w:ascii="Georgia" w:hAnsi="Georgia"/>
      <w:i w:val="1"/>
      <w:color w:val="666666"/>
      <w:sz w:val="48"/>
      <w:szCs w:val="48"/>
    </w:rPr>
  </w:style>
  <w:style w:type="paragraph" w:styleId="P11">
    <w:name w:val="endnote text"/>
    <w:link w:val="C11"/>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Текст виноски Знак"/>
    <w:link w:val="P8"/>
    <w:semiHidden/>
    <w:rPr>
      <w:rFonts w:ascii="Times New Roman" w:hAnsi="Times New Roman"/>
      <w:sz w:val="20"/>
      <w:lang w:val="ru-RU" w:eastAsia="ru-RU"/>
    </w:rPr>
  </w:style>
  <w:style w:type="character" w:styleId="C4">
    <w:name w:val="footnote reference"/>
    <w:semiHidden/>
    <w:rPr>
      <w:vertAlign w:val="superscript"/>
    </w:rPr>
  </w:style>
  <w:style w:type="character" w:styleId="C5">
    <w:name w:val="st131"/>
    <w:rPr>
      <w:i w:val="1"/>
      <w:color w:val="0000FF"/>
    </w:rPr>
  </w:style>
  <w:style w:type="character" w:styleId="C6">
    <w:name w:val="st46"/>
    <w:rPr>
      <w:i w:val="1"/>
      <w:color w:val="000000"/>
    </w:rPr>
  </w:style>
  <w:style w:type="character" w:styleId="C7">
    <w:name w:val="st121"/>
    <w:rPr>
      <w:i w:val="1"/>
      <w:iCs w:val="1"/>
      <w:color w:val="000000"/>
    </w:rPr>
  </w:style>
  <w:style w:type="character" w:styleId="C8">
    <w:name w:val="Заголовок 3 Знак"/>
    <w:basedOn w:val="C0"/>
    <w:link w:val="P3"/>
    <w:rPr>
      <w:rFonts w:ascii="Times New Roman" w:hAnsi="Times New Roman"/>
      <w:b w:val="1"/>
      <w:bCs w:val="1"/>
      <w:sz w:val="27"/>
      <w:szCs w:val="27"/>
    </w:rPr>
  </w:style>
  <w:style w:type="character" w:styleId="C9">
    <w:name w:val="Footnote Text Char"/>
    <w:semiHidden/>
    <w:rPr>
      <w:sz w:val="20"/>
      <w:szCs w:val="20"/>
    </w:rPr>
  </w:style>
  <w:style w:type="character" w:styleId="C10">
    <w:name w:val="endnote reference"/>
    <w:semiHidden/>
    <w:rPr>
      <w:vertAlign w:val="superscript"/>
    </w:rPr>
  </w:style>
  <w:style w:type="character" w:styleId="C11">
    <w:name w:val="Endnote Text Char"/>
    <w:link w:val="P11"/>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Normal"/>
    <w:tblPr>
      <w:tblCellMar>
        <w:top w:w="0" w:type="dxa"/>
        <w:left w:w="0" w:type="dxa"/>
        <w:bottom w:w="0" w:type="dxa"/>
        <w:right w:w="0" w:type="dxa"/>
      </w:tblCellMar>
    </w:tblPr>
    <w:trPr/>
    <w:tcPr/>
  </w:style>
  <w:style w:type="table" w:styleId="T3">
    <w:name w:val="Table Normal"/>
    <w:tblPr>
      <w:tblCellMar>
        <w:top w:w="0" w:type="dxa"/>
        <w:left w:w="0" w:type="dxa"/>
        <w:bottom w:w="0" w:type="dxa"/>
        <w:right w:w="0" w:type="dxa"/>
      </w:tblCellMar>
    </w:tblPr>
    <w:trPr/>
    <w:tcPr/>
  </w:style>
  <w:style w:type="table" w:styleId="T4">
    <w:name w:val="Table Grid"/>
    <w:basedOn w:val="T0"/>
    <w:rPr>
      <w:sz w:val="22"/>
      <w:szCs w:val="22"/>
      <w:lang w:eastAsia="en-US"/>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5">
    <w:name w:val=""/>
    <w:basedOn w:val="T3"/>
    <w:tblPr>
      <w:tblStyleRowBandSize w:val="1"/>
      <w:tblStyleColBandSize w:val="1"/>
      <w:tblCellMar>
        <w:top w:w="0" w:type="dxa"/>
        <w:left w:w="115" w:type="dxa"/>
        <w:bottom w:w="0" w:type="dxa"/>
        <w:right w:w="115"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uwu9cI9tkRwttnzizLy2s6zWI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Go1ChRzdWdnZXN0LjR3bDBoMDNyaGh2bhId0KHQstC10YLQu9Cw0L3QsCDQmtC+0LLRgtGD0L1qNQoUc3VnZ2VzdC5wNWRoanlua3BidTESHdCh0LLQtdGC0LvQsNC90LAg0JrQvtCy0YLRg9C9ajUKFHN1Z2dlc3QubXFoYnc3anNyN2UzEh3QodCy0LXRgtC70LDQvdCwINCa0L7QstGC0YPQvWo1ChRzdWdnZXN0LnZsbHF6MW93amxpYxId0KHQstC10YLQu9Cw0L3QsCDQmtC+0LLRgtGD0L1yITFfSldBSG9HYXVDLW9OVmoyRVlBc0xzWU1OVUFPdXRqMg==</go:docsCustomData>
</go:gDocsCustomXmlDataStorage>
</file>

<file path=customXml/itemProps1.xml><?xml version="1.0" encoding="utf-8"?>
<ds:datastoreItem xmlns:ds="http://schemas.openxmlformats.org/officeDocument/2006/customXml" ds:itemID="{11111111-1234-1234-1234-123412341234}">
  <ds:schemaRefs>
    <ds:schemaRef ds:uri="http://schemas.microsoft.com/vsto/samples"/>
  </ds:schemaRefs>
</ds:datastoreItem>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Бондаренко Ірина</dc:creator>
  <dcterms:created xsi:type="dcterms:W3CDTF">2025-06-30T19:15:00Z</dcterms:created>
  <cp:lastModifiedBy>ASKOD</cp:lastModifiedBy>
  <dcterms:modified xsi:type="dcterms:W3CDTF">2025-07-01T09:13:11Z</dcterms:modified>
  <cp:revision>3</cp:revision>
</cp:coreProperties>
</file>