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firstLine="720" w:left="4320"/>
      </w:pPr>
      <w:bookmarkStart w:id="0" w:name="_GoBack"/>
      <w:r>
        <w:t>Додаток 5</w:t>
      </w:r>
    </w:p>
    <w:p>
      <w:pPr>
        <w:ind w:left="5040"/>
      </w:pPr>
      <w:r>
        <w:t>до Порядку і умов укладення договорів з медіаторами, які залучаються центрами з надання безоплатної правничої допомоги</w:t>
      </w:r>
    </w:p>
    <w:p>
      <w:pPr>
        <w:ind w:firstLine="720" w:left="4320"/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4536" w:left="504"/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200" w:beforeAutospacing="0" w:afterAutospacing="0"/>
        <w:jc w:val="center"/>
        <w:rPr>
          <w:color w:val="000000"/>
        </w:rPr>
      </w:pPr>
      <w:r>
        <w:rPr>
          <w:b w:val="1"/>
          <w:color w:val="000000"/>
        </w:rPr>
        <w:t>Розрахунок розміру винагороди медіатора за надання послуг з медіації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BFBFBF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1. ЗАГАЛЬНІ ДАНІ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1.1. П.І.П. медіатора, який (яка) надав(ла) послуги з медіації: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 xml:space="preserve">1.2. Доручення центру </w:t>
      </w:r>
      <w:r>
        <w:rPr>
          <w:color w:val="000000"/>
          <w:sz w:val="20"/>
          <w:szCs w:val="20"/>
        </w:rPr>
        <w:t> для надання послуг з медіації від __ __ / __ __ / __ __ __ __ № _____ – 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1.3. П.І.П., дата народження осіб, яким надано послуги з медіації:</w:t>
      </w:r>
      <w:r>
        <w:rPr>
          <w:color w:val="000000"/>
          <w:sz w:val="13"/>
          <w:szCs w:val="13"/>
          <w:vertAlign w:val="superscript"/>
        </w:rPr>
        <w:t xml:space="preserve">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>______________________________________________________________________________________________________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______________________________________________________________________________________________________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sz w:val="20"/>
          <w:szCs w:val="20"/>
        </w:rPr>
        <w:t xml:space="preserve">3) </w:t>
      </w:r>
      <w:r>
        <w:rPr>
          <w:color w:val="000000"/>
          <w:sz w:val="20"/>
          <w:szCs w:val="20"/>
        </w:rPr>
        <w:t>______________________________________________________________________________________________________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color w:val="000000"/>
          <w:sz w:val="14"/>
          <w:szCs w:val="14"/>
          <w:vertAlign w:val="superscript"/>
        </w:rPr>
        <w:t xml:space="preserve">1 </w:t>
      </w:r>
      <w:r>
        <w:rPr>
          <w:color w:val="000000"/>
          <w:sz w:val="20"/>
          <w:szCs w:val="20"/>
        </w:rPr>
        <w:t>Зазначаються усі сторони конфлікту (спору)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BFBFBF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2. ВИХІДНІ ДАНІ ДЛЯ РОЗРАХУНКУ ЗНАЧЕНЬ КОЕФІЦІЄНТІВ, ЩО ВИЗНАЧАЮТЬ РОЗМІР ВИНАГОРОДИ МЕДІАТОРА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2.1. Результат здійснення заходів з підготовки до медіації (К</w:t>
      </w:r>
      <w:r>
        <w:rPr>
          <w:b w:val="1"/>
          <w:color w:val="000000"/>
          <w:sz w:val="14"/>
          <w:szCs w:val="14"/>
          <w:vertAlign w:val="subscript"/>
        </w:rPr>
        <w:t>зп</w:t>
      </w:r>
      <w:r>
        <w:rPr>
          <w:b w:val="1"/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>(вибрати один із варіантів):</w:t>
      </w:r>
    </w:p>
    <w:tbl>
      <w:tblPr>
        <w:tblStyle w:val="T5"/>
        <w:tblW w:w="10195" w:type="dxa"/>
        <w:tblInd w:w="0" w:type="dxa"/>
        <w:tblLayout w:type="fixed"/>
        <w:tblLook w:val="0400"/>
      </w:tblPr>
      <w:tblGrid/>
      <w:tr>
        <w:tc>
          <w:tcPr>
            <w:tcW w:w="76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6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Так / Ні</w:t>
            </w:r>
          </w:p>
        </w:tc>
        <w:tc>
          <w:tcPr>
            <w:tcW w:w="18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Значення коефіцієнта у разі відповіді «Так»</w:t>
            </w:r>
          </w:p>
        </w:tc>
      </w:tr>
      <w:tr>
        <w:tc>
          <w:tcPr>
            <w:tcW w:w="76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сторони чи одна із сторін конфлікту (спору), чи медіатор відмовилися від проведення зустрічі для прийняття рішення про участь в медіації; зустрічі не відбулися; медіатором подано інформаційно-аналітичний звіт про неможливість проведення медіації</w:t>
            </w:r>
          </w:p>
        </w:tc>
        <w:tc>
          <w:tcPr>
            <w:tcW w:w="6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8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</w:tr>
      <w:tr>
        <w:tc>
          <w:tcPr>
            <w:tcW w:w="76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сторони конфлікту (спору) та медіатор провели зустрічі для прийняття рішення про участь в медіації, за результатами яких сторони чи одна із сторін конфлікту (спору), чи медіатор не прийняли рішення про участь у медіації; медіатором подано інформаційно-аналітичний звіт про неможливість проведення медіації</w:t>
            </w:r>
          </w:p>
        </w:tc>
        <w:tc>
          <w:tcPr>
            <w:tcW w:w="6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8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</w:tr>
      <w:tr>
        <w:tc>
          <w:tcPr>
            <w:tcW w:w="76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сторони конфлікту (спору) та медіатор прийняли рішення про участь в медіації; медіація проводилась</w:t>
            </w:r>
          </w:p>
        </w:tc>
        <w:tc>
          <w:tcPr>
            <w:tcW w:w="6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8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60" w:after="6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2.2. Кількість сторін конфлікту (спору), яким надано послуг</w:t>
      </w:r>
      <w:r>
        <w:rPr>
          <w:b w:val="1"/>
          <w:sz w:val="20"/>
          <w:szCs w:val="20"/>
        </w:rPr>
        <w:t>и з медіації на стадії здійснення заходів з підготовки до медіації</w:t>
      </w:r>
      <w:r>
        <w:rPr>
          <w:b w:val="1"/>
          <w:color w:val="000000"/>
          <w:sz w:val="20"/>
          <w:szCs w:val="20"/>
        </w:rPr>
        <w:t xml:space="preserve"> (К</w:t>
      </w:r>
      <w:r>
        <w:rPr>
          <w:b w:val="1"/>
          <w:color w:val="000000"/>
          <w:sz w:val="14"/>
          <w:szCs w:val="14"/>
          <w:vertAlign w:val="subscript"/>
        </w:rPr>
        <w:t>кс</w:t>
      </w:r>
      <w:r>
        <w:rPr>
          <w:b w:val="1"/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>(вибрати один із варіантів):</w:t>
      </w:r>
    </w:p>
    <w:tbl>
      <w:tblPr>
        <w:tblStyle w:val="T5"/>
        <w:tblW w:w="10170" w:type="dxa"/>
        <w:tblInd w:w="0" w:type="dxa"/>
        <w:tblLayout w:type="fixed"/>
        <w:tblLook w:val="0400"/>
      </w:tblPr>
      <w:tblGrid/>
      <w:tr>
        <w:tc>
          <w:tcPr>
            <w:tcW w:w="4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Так / Ні</w:t>
            </w:r>
          </w:p>
        </w:tc>
        <w:tc>
          <w:tcPr>
            <w:tcW w:w="4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Значення коефіцієнта у разі відповіді «Так»</w:t>
            </w:r>
          </w:p>
        </w:tc>
      </w:tr>
      <w:tr>
        <w:tc>
          <w:tcPr>
            <w:tcW w:w="4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дві</w:t>
            </w:r>
          </w:p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4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4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три</w:t>
            </w:r>
          </w:p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4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</w:tr>
      <w:tr>
        <w:tc>
          <w:tcPr>
            <w:tcW w:w="4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чотири і більше</w:t>
            </w:r>
          </w:p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4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60" w:after="60" w:beforeAutospacing="0" w:afterAutospacing="0"/>
        <w:jc w:val="both"/>
      </w:pPr>
      <w:r>
        <w:rPr>
          <w:b w:val="1"/>
          <w:color w:val="000000"/>
          <w:sz w:val="20"/>
          <w:szCs w:val="20"/>
        </w:rPr>
        <w:t>2.3. Особлива категорія сторони конфлікту (спору), для в</w:t>
      </w:r>
      <w:r>
        <w:rPr>
          <w:b w:val="1"/>
          <w:sz w:val="20"/>
          <w:szCs w:val="20"/>
        </w:rPr>
        <w:t>регулювання</w:t>
      </w:r>
      <w:r>
        <w:rPr>
          <w:b w:val="1"/>
          <w:color w:val="000000"/>
          <w:sz w:val="20"/>
          <w:szCs w:val="20"/>
        </w:rPr>
        <w:t xml:space="preserve"> якого надаються послуги з медіації (К</w:t>
      </w:r>
      <w:r>
        <w:rPr>
          <w:b w:val="1"/>
          <w:color w:val="000000"/>
          <w:sz w:val="14"/>
          <w:szCs w:val="14"/>
          <w:vertAlign w:val="subscript"/>
        </w:rPr>
        <w:t>окск</w:t>
      </w:r>
      <w:r>
        <w:rPr>
          <w:b w:val="1"/>
          <w:color w:val="000000"/>
          <w:sz w:val="20"/>
          <w:szCs w:val="20"/>
        </w:rPr>
        <w:t>)</w:t>
      </w:r>
      <w:r>
        <w:rPr>
          <w:b w:val="1"/>
          <w:color w:val="000000"/>
          <w:sz w:val="14"/>
          <w:szCs w:val="14"/>
          <w:vertAlign w:val="superscript"/>
        </w:rPr>
        <w:t>2</w:t>
      </w:r>
      <w:r>
        <w:rPr>
          <w:b w:val="1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(відмітити потрібне, якщо щонайменше одна зі сторін конфлікту </w:t>
      </w:r>
      <w:r>
        <w:rPr>
          <w:color w:val="000000"/>
          <w:sz w:val="14"/>
          <w:szCs w:val="14"/>
          <w:vertAlign w:val="superscript"/>
        </w:rPr>
        <w:t>2</w:t>
      </w:r>
      <w:r>
        <w:rPr>
          <w:sz w:val="14"/>
          <w:szCs w:val="14"/>
        </w:rPr>
        <w:t xml:space="preserve">. </w:t>
      </w:r>
      <w:r>
        <w:rPr>
          <w:color w:val="000000"/>
          <w:sz w:val="20"/>
          <w:szCs w:val="20"/>
        </w:rPr>
        <w:t xml:space="preserve">Якщо послуги з медіації надано в конфлікті (спорі) за участю неповнолітньої особи та юридичної особи, розрахунок </w:t>
      </w:r>
      <w:r>
        <w:rPr>
          <w:sz w:val="20"/>
          <w:szCs w:val="20"/>
        </w:rPr>
        <w:t>(спору) належить до відповідної категорії):</w:t>
      </w:r>
    </w:p>
    <w:tbl>
      <w:tblPr>
        <w:tblStyle w:val="T5"/>
        <w:tblW w:w="10155" w:type="dxa"/>
        <w:tblInd w:w="0" w:type="dxa"/>
        <w:tblLayout w:type="fixed"/>
        <w:tblLook w:val="0400"/>
      </w:tblPr>
      <w:tblGrid/>
      <w:tr>
        <w:tc>
          <w:tcPr>
            <w:tcW w:w="4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60" w:after="60" w:beforeAutospacing="0" w:afterAutospacing="0"/>
              <w:jc w:val="center"/>
            </w:pPr>
            <w:r>
              <w:rPr>
                <w:sz w:val="20"/>
                <w:szCs w:val="20"/>
              </w:rPr>
              <w:t>Так / Ні</w:t>
            </w:r>
          </w:p>
        </w:tc>
        <w:tc>
          <w:tcPr>
            <w:tcW w:w="4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60" w:after="60" w:beforeAutospacing="0" w:afterAutospacing="0"/>
              <w:jc w:val="center"/>
            </w:pPr>
            <w:r>
              <w:rPr>
                <w:sz w:val="20"/>
                <w:szCs w:val="20"/>
              </w:rPr>
              <w:t>Значення коефіцієнта у разі відповіді «Так»</w:t>
            </w:r>
          </w:p>
        </w:tc>
      </w:tr>
      <w:tr>
        <w:tc>
          <w:tcPr>
            <w:tcW w:w="4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60" w:after="60" w:beforeAutospacing="0" w:afterAutospacing="0"/>
              <w:jc w:val="both"/>
            </w:pPr>
            <w:r>
              <w:rPr>
                <w:sz w:val="20"/>
                <w:szCs w:val="20"/>
              </w:rPr>
              <w:t>неповнолітня особа</w:t>
            </w:r>
          </w:p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4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60" w:after="60" w:beforeAutospacing="0" w:afterAutospacing="0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</w:tr>
      <w:tr>
        <w:tc>
          <w:tcPr>
            <w:tcW w:w="4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60" w:after="60" w:beforeAutospacing="0" w:afterAutospacing="0"/>
              <w:jc w:val="both"/>
            </w:pPr>
            <w:r>
              <w:rPr>
                <w:sz w:val="20"/>
                <w:szCs w:val="20"/>
              </w:rPr>
              <w:t>юридична особа</w:t>
            </w:r>
          </w:p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4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60" w:after="60" w:beforeAutospacing="0" w:afterAutospacing="0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>
        <w:tc>
          <w:tcPr>
            <w:tcW w:w="4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60" w:after="60" w:beforeAutospacing="0" w:afterAutospacing="0"/>
              <w:jc w:val="both"/>
            </w:pPr>
            <w:r>
              <w:rPr>
                <w:sz w:val="20"/>
                <w:szCs w:val="20"/>
              </w:rPr>
              <w:t>в інших випадках</w:t>
            </w:r>
          </w:p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4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before="60" w:after="60" w:beforeAutospacing="0" w:afterAutospacing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60" w:after="60" w:beforeAutospacing="0" w:afterAutospacing="0"/>
        <w:jc w:val="both"/>
        <w:rPr>
          <w:color w:val="000000"/>
        </w:rPr>
      </w:pPr>
      <w:r>
        <w:rPr>
          <w:sz w:val="14"/>
          <w:szCs w:val="14"/>
          <w:vertAlign w:val="superscript"/>
        </w:rPr>
        <w:t xml:space="preserve">2 </w:t>
      </w:r>
      <w:r>
        <w:rPr>
          <w:color w:val="000000"/>
          <w:sz w:val="20"/>
          <w:szCs w:val="20"/>
        </w:rPr>
        <w:t>здійснюється за коефіцієнтом, визначеним для сторони конфлікту (спору), якою є неповнолітня особа.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2.4. Кількість сторін конфлікту (спору), з якими медіатор під час здійснення заходів з підготовки до медіації провів зустрічі очно або онлайн за межами району, в якому проживає медіатор або в якому зареєстроване місце діяльності медіатора (К</w:t>
      </w:r>
      <w:r>
        <w:rPr>
          <w:b w:val="1"/>
          <w:color w:val="000000"/>
          <w:sz w:val="14"/>
          <w:szCs w:val="14"/>
          <w:vertAlign w:val="subscript"/>
        </w:rPr>
        <w:t>тер1</w:t>
      </w:r>
      <w:r>
        <w:rPr>
          <w:b w:val="1"/>
          <w:color w:val="000000"/>
          <w:sz w:val="20"/>
          <w:szCs w:val="20"/>
        </w:rPr>
        <w:t>)</w:t>
      </w:r>
      <w:r>
        <w:rPr>
          <w:b w:val="1"/>
          <w:color w:val="000000"/>
          <w:sz w:val="22"/>
          <w:szCs w:val="22"/>
        </w:rPr>
        <w:t xml:space="preserve"> </w:t>
      </w:r>
      <w:r>
        <w:rPr>
          <w:color w:val="000000"/>
          <w:sz w:val="20"/>
          <w:szCs w:val="20"/>
        </w:rPr>
        <w:t>(вибрати один із варіантів):</w:t>
      </w:r>
    </w:p>
    <w:tbl>
      <w:tblPr>
        <w:tblStyle w:val="T5"/>
        <w:tblW w:w="10200" w:type="dxa"/>
        <w:tblInd w:w="0" w:type="dxa"/>
        <w:tblLayout w:type="fixed"/>
        <w:tblLook w:val="0400"/>
      </w:tblPr>
      <w:tblGrid/>
      <w:tr>
        <w:tc>
          <w:tcPr>
            <w:tcW w:w="4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Так / Ні</w:t>
            </w:r>
          </w:p>
        </w:tc>
        <w:tc>
          <w:tcPr>
            <w:tcW w:w="42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Значення коефіцієнта у разі відповіді «Так»</w:t>
            </w:r>
          </w:p>
        </w:tc>
      </w:tr>
      <w:tr>
        <w:tc>
          <w:tcPr>
            <w:tcW w:w="4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одна сторона конфлікту (спору)</w:t>
            </w:r>
          </w:p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42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</w:tr>
      <w:tr>
        <w:tc>
          <w:tcPr>
            <w:tcW w:w="4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декілька сторін конфлікту (спору)</w:t>
            </w:r>
          </w:p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42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>
        <w:tc>
          <w:tcPr>
            <w:tcW w:w="4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в інших випадках</w:t>
            </w:r>
            <w:r>
              <w:rPr>
                <w:color w:val="000000"/>
                <w:sz w:val="20"/>
                <w:szCs w:val="20"/>
              </w:rPr>
              <w:t xml:space="preserve"> або зустрічі не проводилися</w:t>
            </w:r>
          </w:p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42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60" w:after="60" w:beforeAutospacing="0" w:afterAutospacing="0"/>
        <w:jc w:val="both"/>
        <w:rPr>
          <w:b w:val="1"/>
          <w:sz w:val="20"/>
          <w:szCs w:val="20"/>
        </w:rPr>
      </w:pPr>
      <w:r>
        <w:rPr>
          <w:b w:val="1"/>
          <w:color w:val="000000"/>
          <w:sz w:val="20"/>
          <w:szCs w:val="20"/>
        </w:rPr>
        <w:t>2.5. Розрахунок тривалост</w:t>
      </w:r>
      <w:r>
        <w:rPr>
          <w:b w:val="1"/>
          <w:sz w:val="20"/>
          <w:szCs w:val="20"/>
        </w:rPr>
        <w:t>і зустрічей (КГ х К</w:t>
      </w:r>
      <w:r>
        <w:rPr>
          <w:b w:val="1"/>
          <w:sz w:val="14"/>
          <w:szCs w:val="14"/>
          <w:vertAlign w:val="subscript"/>
        </w:rPr>
        <w:t>тз</w:t>
      </w:r>
      <w:r>
        <w:rPr>
          <w:b w:val="1"/>
        </w:rPr>
        <w:t xml:space="preserve"> </w:t>
      </w:r>
      <w:r>
        <w:rPr>
          <w:b w:val="1"/>
          <w:sz w:val="20"/>
          <w:szCs w:val="20"/>
        </w:rPr>
        <w:t>х</w:t>
      </w:r>
      <w:r>
        <w:rPr>
          <w:b w:val="1"/>
        </w:rPr>
        <w:t xml:space="preserve"> </w:t>
      </w:r>
      <w:r>
        <w:rPr>
          <w:b w:val="1"/>
          <w:sz w:val="20"/>
          <w:szCs w:val="20"/>
        </w:rPr>
        <w:t>К</w:t>
      </w:r>
      <w:r>
        <w:rPr>
          <w:b w:val="1"/>
          <w:sz w:val="14"/>
          <w:szCs w:val="14"/>
          <w:vertAlign w:val="subscript"/>
        </w:rPr>
        <w:t>окск</w:t>
      </w:r>
      <w:r>
        <w:rPr>
          <w:b w:val="1"/>
        </w:rPr>
        <w:t xml:space="preserve"> </w:t>
      </w:r>
      <w:r>
        <w:rPr>
          <w:b w:val="1"/>
          <w:sz w:val="20"/>
          <w:szCs w:val="20"/>
        </w:rPr>
        <w:t>х</w:t>
      </w:r>
      <w:r>
        <w:rPr>
          <w:b w:val="1"/>
        </w:rPr>
        <w:t xml:space="preserve"> </w:t>
      </w:r>
      <w:r>
        <w:rPr>
          <w:b w:val="1"/>
          <w:sz w:val="20"/>
          <w:szCs w:val="20"/>
        </w:rPr>
        <w:t>К</w:t>
      </w:r>
      <w:r>
        <w:rPr>
          <w:b w:val="1"/>
          <w:sz w:val="14"/>
          <w:szCs w:val="14"/>
          <w:vertAlign w:val="subscript"/>
        </w:rPr>
        <w:t>тер2</w:t>
      </w:r>
      <w:r>
        <w:rPr>
          <w:b w:val="1"/>
          <w:sz w:val="20"/>
          <w:szCs w:val="20"/>
        </w:rPr>
        <w:t>):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60" w:after="60" w:beforeAutospacing="0" w:afterAutospacing="0"/>
        <w:jc w:val="both"/>
        <w:rPr>
          <w:color w:val="000000"/>
        </w:rPr>
      </w:pPr>
      <w:r>
        <w:rPr>
          <w:b w:val="1"/>
          <w:sz w:val="20"/>
          <w:szCs w:val="20"/>
        </w:rPr>
        <w:t xml:space="preserve">2.5.1. </w:t>
      </w:r>
      <w:r>
        <w:rPr>
          <w:b w:val="1"/>
          <w:color w:val="000000"/>
          <w:sz w:val="20"/>
          <w:szCs w:val="20"/>
        </w:rPr>
        <w:t>Реєстр зустрічей, проведених медіатором під час медіації (n)</w:t>
      </w:r>
      <w:r>
        <w:rPr>
          <w:b w:val="1"/>
          <w:color w:val="000000"/>
          <w:sz w:val="14"/>
          <w:szCs w:val="14"/>
          <w:vertAlign w:val="superscript"/>
        </w:rPr>
        <w:t>3</w:t>
      </w:r>
      <w:r>
        <w:rPr>
          <w:b w:val="1"/>
          <w:color w:val="000000"/>
          <w:sz w:val="20"/>
          <w:szCs w:val="20"/>
        </w:rPr>
        <w:t>:</w:t>
      </w:r>
    </w:p>
    <w:tbl>
      <w:tblPr>
        <w:tblStyle w:val="T5"/>
        <w:tblW w:w="10200" w:type="dxa"/>
        <w:tblInd w:w="0" w:type="dxa"/>
        <w:tblLayout w:type="fixed"/>
        <w:tblLook w:val="0400"/>
      </w:tblPr>
      <w:tblGrid/>
      <w:tr>
        <w:trPr>
          <w:trHeight w:hRule="atLeast" w:val="200"/>
        </w:trPr>
        <w:tc>
          <w:tcPr>
            <w:tcW w:w="9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Порядковий номер зустрічі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Тривалість зустрічі у годинах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Тип зустрічі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(вибрати один із варіантів):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1) спільна з усіма сторонами конфлікту (спору)</w:t>
            </w:r>
            <w:r>
              <w:rPr>
                <w:sz w:val="20"/>
                <w:szCs w:val="20"/>
              </w:rPr>
              <w:t>;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2) окрема (індивідуальна)</w:t>
            </w:r>
          </w:p>
        </w:tc>
        <w:tc>
          <w:tcPr>
            <w:tcW w:w="2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Категорія сторони конфлікту (спору), яка </w:t>
            </w:r>
            <w:r>
              <w:rPr>
                <w:smallCaps w:val="0"/>
                <w:color w:val="00000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>брала</w:t>
            </w:r>
            <w:r>
              <w:rPr>
                <w:color w:val="000000"/>
                <w:sz w:val="20"/>
                <w:szCs w:val="20"/>
              </w:rPr>
              <w:t xml:space="preserve"> участь у зустрічі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(вибрати один із варіантів):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1) неповнолітня особа;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2) юридична особа;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жодна з зазначених</w:t>
            </w:r>
            <w:r>
              <w:rPr>
                <w:smallCaps w:val="0"/>
                <w:color w:val="00000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>.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i w:val="1"/>
                <w:iCs w:val="1"/>
              </w:rPr>
            </w:pPr>
            <w:r>
              <w:rPr>
                <w:i w:val="1"/>
                <w:iCs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>Додатково</w:t>
            </w:r>
            <w:r>
              <w:rPr>
                <w:i w:val="1"/>
                <w:iCs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(</w:t>
            </w:r>
            <w:r>
              <w:rPr>
                <w:i w:val="1"/>
                <w:iCs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>за наявності</w:t>
            </w:r>
            <w:r>
              <w:rPr>
                <w:i w:val="1"/>
                <w:iCs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>)</w:t>
            </w:r>
            <w:r>
              <w:rPr>
                <w:i w:val="1"/>
                <w:iCs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може бути зазначена</w:t>
            </w:r>
            <w:r>
              <w:rPr>
                <w:i w:val="1"/>
                <w:iCs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</w:t>
            </w:r>
            <w:r>
              <w:rPr>
                <w:i w:val="1"/>
                <w:iCs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>к</w:t>
            </w:r>
            <w:r>
              <w:rPr>
                <w:i w:val="1"/>
                <w:iCs w:val="1"/>
                <w:sz w:val="20"/>
                <w:szCs w:val="20"/>
              </w:rPr>
              <w:t>атегорія учасника медіації, як</w:t>
            </w:r>
            <w:r>
              <w:rPr>
                <w:i w:val="1"/>
                <w:iCs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>ий</w:t>
            </w:r>
            <w:r>
              <w:rPr>
                <w:i w:val="1"/>
                <w:iCs w:val="1"/>
                <w:sz w:val="20"/>
                <w:szCs w:val="20"/>
              </w:rPr>
              <w:t xml:space="preserve"> </w:t>
            </w:r>
            <w:r>
              <w:rPr>
                <w:i w:val="1"/>
                <w:iCs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брав </w:t>
            </w:r>
            <w:r>
              <w:rPr>
                <w:i w:val="1"/>
                <w:iCs w:val="1"/>
                <w:sz w:val="20"/>
                <w:szCs w:val="20"/>
              </w:rPr>
              <w:t>участь у зустрічі (вибрати</w:t>
            </w:r>
            <w:r>
              <w:rPr>
                <w:i w:val="1"/>
                <w:smallCaps w:val="0"/>
                <w:sz w:val="20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необхідне</w:t>
            </w:r>
            <w:r>
              <w:rPr>
                <w:i w:val="1"/>
                <w:iCs w:val="1"/>
                <w:sz w:val="20"/>
                <w:szCs w:val="20"/>
              </w:rPr>
              <w:t>):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20"/>
                <w:szCs w:val="20"/>
              </w:rPr>
            </w:pPr>
            <w:r>
              <w:rPr>
                <w:i w:val="1"/>
                <w:iCs w:val="1"/>
                <w:sz w:val="20"/>
                <w:szCs w:val="20"/>
              </w:rPr>
              <w:t>законний представник, представник, захисник, експерт, спеціаліст, тощо</w:t>
            </w:r>
          </w:p>
        </w:tc>
        <w:tc>
          <w:tcPr>
            <w:tcW w:w="27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Територіальність проведення зустрічі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(вибрати один із варіантів):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1) очно або онлайн </w:t>
            </w:r>
            <w:r>
              <w:rPr>
                <w:color w:val="000000"/>
                <w:sz w:val="20"/>
                <w:szCs w:val="20"/>
                <w:u w:val="single"/>
              </w:rPr>
              <w:t>за межами району</w:t>
            </w:r>
            <w:r>
              <w:rPr>
                <w:color w:val="000000"/>
                <w:sz w:val="20"/>
                <w:szCs w:val="20"/>
              </w:rPr>
              <w:t>, в якому проживає медіатор або в якому зареєстроване місце діяльності медіатора</w:t>
            </w:r>
            <w:r>
              <w:rPr>
                <w:sz w:val="20"/>
                <w:szCs w:val="20"/>
              </w:rPr>
              <w:t>;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2) очно або онлайн </w:t>
            </w:r>
            <w:r>
              <w:rPr>
                <w:color w:val="000000"/>
                <w:sz w:val="20"/>
                <w:szCs w:val="20"/>
                <w:u w:val="single"/>
              </w:rPr>
              <w:t>в межах району</w:t>
            </w:r>
            <w:r>
              <w:rPr>
                <w:color w:val="000000"/>
                <w:sz w:val="20"/>
                <w:szCs w:val="20"/>
              </w:rPr>
              <w:t>, в якому проживає медіатор або в якому зареєстроване місце діяльності медіатора</w:t>
            </w:r>
          </w:p>
        </w:tc>
        <w:tc>
          <w:tcPr>
            <w:tcW w:w="108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Загальна кількість зустрічей за типом зустрічей </w:t>
            </w:r>
          </w:p>
        </w:tc>
      </w:tr>
      <w:tr>
        <w:trPr>
          <w:trHeight w:hRule="atLeast" w:val="240"/>
        </w:trPr>
        <w:tc>
          <w:tcPr>
            <w:tcW w:w="9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7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08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</w:tr>
      <w:tr>
        <w:trPr>
          <w:trHeight w:hRule="atLeast" w:val="240"/>
        </w:trPr>
        <w:tc>
          <w:tcPr>
            <w:tcW w:w="9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7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08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</w:tr>
      <w:tr>
        <w:trPr>
          <w:trHeight w:hRule="atLeast" w:val="240"/>
        </w:trPr>
        <w:tc>
          <w:tcPr>
            <w:tcW w:w="9120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Загальна кількість спільних зустрічей </w:t>
            </w:r>
          </w:p>
        </w:tc>
        <w:tc>
          <w:tcPr>
            <w:tcW w:w="10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</w:tr>
      <w:tr>
        <w:trPr>
          <w:trHeight w:hRule="atLeast" w:val="240"/>
        </w:trPr>
        <w:tc>
          <w:tcPr>
            <w:tcW w:w="9120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Загальна кількість окремих (індивідуальних) зустрічей</w:t>
            </w:r>
          </w:p>
        </w:tc>
        <w:tc>
          <w:tcPr>
            <w:tcW w:w="10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60" w:after="60" w:beforeAutospacing="0" w:afterAutospacing="0"/>
        <w:jc w:val="both"/>
        <w:rPr>
          <w:color w:val="000000"/>
        </w:rPr>
      </w:pPr>
      <w:r>
        <w:rPr>
          <w:color w:val="000000"/>
          <w:sz w:val="14"/>
          <w:szCs w:val="14"/>
          <w:vertAlign w:val="superscript"/>
        </w:rPr>
        <w:t xml:space="preserve">3 </w:t>
      </w:r>
      <w:r>
        <w:rPr>
          <w:color w:val="000000"/>
          <w:sz w:val="20"/>
          <w:szCs w:val="20"/>
        </w:rPr>
        <w:t>Допустима кількість зустрічей під час проведення медіації з метою врегулювання конфліктів (спорів) у кримінальних провадженнях для розрахунку винагороди медіатора: до 2-х спільних зустрічей медіатора з усіма сторонами конфлікту (спору) за участю інших учасників медіації або без їх участі, та до 4-х окремих зустрічей медіатора із сторонами конфлікту (спору) та/або їх законними представниками за участю інших учасників медіації або без їх участі.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60" w:after="60" w:beforeAutospacing="0" w:afterAutospacing="0"/>
        <w:jc w:val="both"/>
        <w:rPr>
          <w:color w:val="000000"/>
        </w:rPr>
      </w:pPr>
      <w:r>
        <w:rPr>
          <w:color w:val="000000"/>
          <w:sz w:val="14"/>
          <w:szCs w:val="14"/>
          <w:vertAlign w:val="superscript"/>
        </w:rPr>
        <w:t>4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Допустима кількість годин зустрічі під час проведення медіації з метою врегулювання конфліктів (спорів) у кримінальних провадженнях для розрахунку винагороди медіатора: до 3-х годин для спільної зустрічі та до 1-ї години для окремої зустрічі.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60" w:after="60" w:beforeAutospacing="0" w:afterAutospacing="0"/>
        <w:jc w:val="both"/>
        <w:rPr>
          <w:color w:val="000000"/>
        </w:rPr>
      </w:pPr>
      <w:r>
        <w:rPr>
          <w:b w:val="1"/>
          <w:sz w:val="20"/>
          <w:szCs w:val="20"/>
        </w:rPr>
        <w:t xml:space="preserve">2.5.2. </w:t>
      </w:r>
      <w:r>
        <w:rPr>
          <w:b w:val="1"/>
          <w:color w:val="000000"/>
          <w:sz w:val="20"/>
          <w:szCs w:val="20"/>
        </w:rPr>
        <w:t>Розрахунок сумарної тривалості усіх зустрічей з урахуванням коефіцієнтів</w:t>
      </w:r>
    </w:p>
    <w:tbl>
      <w:tblPr>
        <w:tblStyle w:val="T5"/>
        <w:tblW w:w="10200" w:type="dxa"/>
        <w:tblInd w:w="0" w:type="dxa"/>
        <w:tblLayout w:type="fixed"/>
        <w:tblLook w:val="0400"/>
      </w:tblPr>
      <w:tblGrid/>
      <w:tr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Порядковий номер зустрічі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Тривалість зустрічі у годинах </w:t>
            </w:r>
            <w:r>
              <w:rPr>
                <w:b w:val="1"/>
                <w:color w:val="000000"/>
                <w:sz w:val="20"/>
                <w:szCs w:val="20"/>
              </w:rPr>
              <w:t>(КГ</w:t>
            </w:r>
            <w:r>
              <w:rPr>
                <w:b w:val="1"/>
                <w:color w:val="333333"/>
                <w:sz w:val="20"/>
                <w:szCs w:val="20"/>
                <w:vertAlign w:val="subscript"/>
              </w:rPr>
              <w:t>і</w:t>
            </w:r>
            <w:r>
              <w:rPr>
                <w:b w:val="1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Коефіцієнт типу зустрічі </w:t>
            </w:r>
            <w:r>
              <w:rPr>
                <w:b w:val="1"/>
                <w:color w:val="000000"/>
                <w:sz w:val="20"/>
                <w:szCs w:val="20"/>
              </w:rPr>
              <w:t>(К</w:t>
            </w:r>
            <w:r>
              <w:rPr>
                <w:b w:val="1"/>
                <w:color w:val="000000"/>
                <w:sz w:val="14"/>
                <w:szCs w:val="14"/>
                <w:vertAlign w:val="subscript"/>
              </w:rPr>
              <w:t>тз</w:t>
            </w:r>
            <w:r>
              <w:rPr>
                <w:b w:val="1"/>
                <w:color w:val="000000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(вибрати один із варіантів)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1) для спільної з усіма сторонами конфлікту (спору) – </w:t>
            </w:r>
            <w:r>
              <w:rPr>
                <w:b w:val="1"/>
                <w:color w:val="000000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;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 2) для окремої (індивідуальної) – </w:t>
            </w:r>
            <w:r>
              <w:rPr>
                <w:b w:val="1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Коефіцієнт особливої категорії сторони конфлікту (спору), яка взяла участь у зустрічі </w:t>
            </w:r>
            <w:r>
              <w:rPr>
                <w:b w:val="1"/>
                <w:color w:val="000000"/>
                <w:sz w:val="20"/>
                <w:szCs w:val="20"/>
              </w:rPr>
              <w:t>(К</w:t>
            </w:r>
            <w:r>
              <w:rPr>
                <w:b w:val="1"/>
                <w:color w:val="000000"/>
                <w:sz w:val="14"/>
                <w:szCs w:val="14"/>
                <w:vertAlign w:val="subscript"/>
              </w:rPr>
              <w:t>окск</w:t>
            </w:r>
            <w:r>
              <w:rPr>
                <w:b w:val="1"/>
                <w:color w:val="000000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(вибрати один із варіантів)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1) для неповнолітньої особи – </w:t>
            </w:r>
            <w:r>
              <w:rPr>
                <w:b w:val="1"/>
                <w:color w:val="000000"/>
                <w:sz w:val="20"/>
                <w:szCs w:val="20"/>
              </w:rPr>
              <w:t>1,5</w:t>
            </w:r>
            <w:r>
              <w:rPr>
                <w:sz w:val="20"/>
                <w:szCs w:val="20"/>
              </w:rPr>
              <w:t>;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2) для юридичної особи – </w:t>
            </w:r>
            <w:r>
              <w:rPr>
                <w:b w:val="1"/>
                <w:color w:val="000000"/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>;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3) в інших випадках – </w:t>
            </w:r>
            <w:r>
              <w:rPr>
                <w:b w:val="1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Коефіцієнт територіального проведення зустрічі (</w:t>
            </w:r>
            <w:r>
              <w:rPr>
                <w:b w:val="1"/>
                <w:color w:val="000000"/>
                <w:sz w:val="20"/>
                <w:szCs w:val="20"/>
              </w:rPr>
              <w:t>К</w:t>
            </w:r>
            <w:r>
              <w:rPr>
                <w:b w:val="1"/>
                <w:color w:val="000000"/>
                <w:sz w:val="14"/>
                <w:szCs w:val="14"/>
                <w:vertAlign w:val="subscript"/>
              </w:rPr>
              <w:t>тер2</w:t>
            </w:r>
            <w:r>
              <w:rPr>
                <w:color w:val="000000"/>
                <w:sz w:val="20"/>
                <w:szCs w:val="20"/>
              </w:rPr>
              <w:t>):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(вибрати один із варіантів):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1) у разі проведення очно або онлайн </w:t>
            </w:r>
            <w:r>
              <w:rPr>
                <w:color w:val="000000"/>
                <w:sz w:val="20"/>
                <w:szCs w:val="20"/>
                <w:u w:val="single"/>
              </w:rPr>
              <w:t>за межами району</w:t>
            </w:r>
            <w:r>
              <w:rPr>
                <w:color w:val="000000"/>
                <w:sz w:val="20"/>
                <w:szCs w:val="20"/>
              </w:rPr>
              <w:t xml:space="preserve">, в якому проживає медіатор або в якому зареєстроване місце діяльності медіатора – </w:t>
            </w:r>
            <w:r>
              <w:rPr>
                <w:b w:val="1"/>
                <w:color w:val="000000"/>
                <w:sz w:val="20"/>
                <w:szCs w:val="20"/>
              </w:rPr>
              <w:t>1,2</w:t>
            </w:r>
            <w:r>
              <w:rPr>
                <w:b w:val="1"/>
                <w:sz w:val="20"/>
                <w:szCs w:val="20"/>
              </w:rPr>
              <w:t>;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2) у разі проведення очно або онлайн </w:t>
            </w:r>
            <w:r>
              <w:rPr>
                <w:color w:val="000000"/>
                <w:sz w:val="20"/>
                <w:szCs w:val="20"/>
                <w:u w:val="single"/>
              </w:rPr>
              <w:t>в межах району</w:t>
            </w:r>
            <w:r>
              <w:rPr>
                <w:color w:val="000000"/>
                <w:sz w:val="20"/>
                <w:szCs w:val="20"/>
              </w:rPr>
              <w:t xml:space="preserve">, в якому проживає медіатор або в якому зареєстроване місце діяльності медіатора – </w:t>
            </w:r>
            <w:r>
              <w:rPr>
                <w:b w:val="1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Розрахунок тривалості зустрічей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b w:val="1"/>
                <w:color w:val="000000"/>
                <w:sz w:val="20"/>
                <w:szCs w:val="20"/>
              </w:rPr>
              <w:t>(КГ х К</w:t>
            </w:r>
            <w:r>
              <w:rPr>
                <w:b w:val="1"/>
                <w:color w:val="000000"/>
                <w:sz w:val="14"/>
                <w:szCs w:val="14"/>
                <w:vertAlign w:val="subscript"/>
              </w:rPr>
              <w:t>тз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  <w:sz w:val="20"/>
                <w:szCs w:val="20"/>
              </w:rPr>
              <w:t>х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  <w:sz w:val="20"/>
                <w:szCs w:val="20"/>
              </w:rPr>
              <w:t>К</w:t>
            </w:r>
            <w:r>
              <w:rPr>
                <w:b w:val="1"/>
                <w:color w:val="000000"/>
                <w:sz w:val="14"/>
                <w:szCs w:val="14"/>
                <w:vertAlign w:val="subscript"/>
              </w:rPr>
              <w:t>окск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  <w:sz w:val="20"/>
                <w:szCs w:val="20"/>
              </w:rPr>
              <w:t>х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  <w:sz w:val="20"/>
                <w:szCs w:val="20"/>
              </w:rPr>
              <w:t>К</w:t>
            </w:r>
            <w:r>
              <w:rPr>
                <w:b w:val="1"/>
                <w:color w:val="000000"/>
                <w:sz w:val="14"/>
                <w:szCs w:val="14"/>
                <w:vertAlign w:val="subscript"/>
              </w:rPr>
              <w:t>тер2</w:t>
            </w:r>
            <w:r>
              <w:rPr>
                <w:b w:val="1"/>
                <w:color w:val="000000"/>
                <w:sz w:val="20"/>
                <w:szCs w:val="20"/>
              </w:rPr>
              <w:t>)</w:t>
            </w:r>
          </w:p>
        </w:tc>
      </w:tr>
      <w:tr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7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0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</w:tr>
      <w:tr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7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0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</w:tr>
      <w:tr>
        <w:tc>
          <w:tcPr>
            <w:tcW w:w="8940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</w:rPr>
            </w:pPr>
            <w:r>
              <w:rPr>
                <w:b w:val="1"/>
                <w:color w:val="000000"/>
                <w:sz w:val="20"/>
                <w:szCs w:val="20"/>
              </w:rPr>
              <w:t>Загальна тривалість усіх зустрічей з урахуванням коефіцієнтів: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b w:val="1"/>
          <w:sz w:val="20"/>
          <w:szCs w:val="2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2.6. Категорія конфлікту (спору) (Ккк)</w:t>
      </w:r>
      <w:r>
        <w:rPr>
          <w:b w:val="1"/>
          <w:color w:val="000000"/>
          <w:sz w:val="14"/>
          <w:szCs w:val="14"/>
          <w:vertAlign w:val="superscript"/>
        </w:rPr>
        <w:t>5</w:t>
      </w:r>
      <w:r>
        <w:rPr>
          <w:color w:val="000000"/>
          <w:sz w:val="20"/>
          <w:szCs w:val="20"/>
        </w:rPr>
        <w:t xml:space="preserve"> (вибрати один із варіантів для відповідного випадку):</w:t>
      </w:r>
    </w:p>
    <w:tbl>
      <w:tblPr>
        <w:tblStyle w:val="T5"/>
        <w:tblW w:w="10195" w:type="dxa"/>
        <w:tblInd w:w="0" w:type="dxa"/>
        <w:tblLayout w:type="fixed"/>
        <w:tblLook w:val="0400"/>
      </w:tblPr>
      <w:tblGrid/>
      <w:tr>
        <w:tc>
          <w:tcPr>
            <w:tcW w:w="276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56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Так / Ні</w:t>
            </w:r>
          </w:p>
        </w:tc>
        <w:tc>
          <w:tcPr>
            <w:tcW w:w="686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Значення коефіцієнта у разі відповіді «Так»</w:t>
            </w:r>
          </w:p>
        </w:tc>
      </w:tr>
      <w:tr>
        <w:tc>
          <w:tcPr>
            <w:tcW w:w="2768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rPr>
                <w:color w:val="000000"/>
              </w:rPr>
            </w:pPr>
          </w:p>
        </w:tc>
        <w:tc>
          <w:tcPr>
            <w:tcW w:w="56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rPr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для випадків, у яких сторони чи одна із сторін конфлікту (спору), чи медіатор відмовилися від проведення зустрічі для прийняття рішення про участь в медіації; зустрічі не відбулися</w:t>
            </w:r>
          </w:p>
        </w:tc>
        <w:tc>
          <w:tcPr>
            <w:tcW w:w="2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для випадків, у яких сторони конфлікту (спору) та медіатор провели зустрічі для прийняття рішення про участь в медіації, за результатами яких сторони чи одна із сторін конфлікту (спору), чи медіатор не прийняли рішення про участь в медіації</w:t>
            </w:r>
          </w:p>
        </w:tc>
        <w:tc>
          <w:tcPr>
            <w:tcW w:w="1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для випадків, у яких сторони конфлікту (спору) та медіатор прийняли рішення про участь в медіації; медіація проводилась</w:t>
            </w:r>
          </w:p>
        </w:tc>
      </w:tr>
      <w:tr>
        <w:tc>
          <w:tcPr>
            <w:tcW w:w="2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 кримінальних провадженнях (особливо тяжкий / тяжкий злочин)</w:t>
            </w:r>
          </w:p>
        </w:tc>
        <w:tc>
          <w:tcPr>
            <w:tcW w:w="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</w:tr>
      <w:tr>
        <w:tc>
          <w:tcPr>
            <w:tcW w:w="2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 кримінальних провадженнях (нетяжкий злочин)</w:t>
            </w:r>
          </w:p>
        </w:tc>
        <w:tc>
          <w:tcPr>
            <w:tcW w:w="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</w:tr>
      <w:tr>
        <w:tc>
          <w:tcPr>
            <w:tcW w:w="2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 кримінальних провадженнях (кримінальний проступок)</w:t>
            </w:r>
          </w:p>
        </w:tc>
        <w:tc>
          <w:tcPr>
            <w:tcW w:w="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</w:tr>
      <w:tr>
        <w:tc>
          <w:tcPr>
            <w:tcW w:w="2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 справах, що пов’язані з виконанням міжнародних договорів, згода на обов’язковість яких надана Верховною Радою України, та які стосуються законних прав та інтересів малолітніх, неповнолітніх осіб</w:t>
            </w:r>
          </w:p>
        </w:tc>
        <w:tc>
          <w:tcPr>
            <w:tcW w:w="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</w:tr>
      <w:tr>
        <w:tc>
          <w:tcPr>
            <w:tcW w:w="2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 цивільних правовідносинах, що стосуються або впливають на реалізацію законних прав та інтересів малолітніх, неповнолітніх осіб</w:t>
            </w:r>
          </w:p>
        </w:tc>
        <w:tc>
          <w:tcPr>
            <w:tcW w:w="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2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 справах про адміністративні правопорушення</w:t>
            </w:r>
          </w:p>
        </w:tc>
        <w:tc>
          <w:tcPr>
            <w:tcW w:w="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>
        <w:tc>
          <w:tcPr>
            <w:tcW w:w="2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color w:val="000000"/>
          <w:sz w:val="14"/>
          <w:szCs w:val="14"/>
          <w:vertAlign w:val="superscript"/>
        </w:rPr>
        <w:t xml:space="preserve">5 </w:t>
      </w:r>
      <w:r>
        <w:rPr>
          <w:color w:val="000000"/>
          <w:sz w:val="20"/>
          <w:szCs w:val="20"/>
        </w:rPr>
        <w:t>Якщо послуги з медіації надавалися для врегулювання конфлікту у кримінальному провадженні за участю осіб, щодо яких визначено різну правову кваліфікацію кримінального правопорушення, розрахунок здійснюється за коефіцієнтом, який є вищим.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6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 xml:space="preserve">2.7. Умови угоди за результатами медіації </w:t>
      </w:r>
      <w:r>
        <w:rPr>
          <w:color w:val="000000"/>
          <w:sz w:val="20"/>
          <w:szCs w:val="20"/>
        </w:rPr>
        <w:t>(далі – угода)</w:t>
      </w:r>
      <w:r>
        <w:rPr>
          <w:b w:val="1"/>
          <w:color w:val="000000"/>
          <w:sz w:val="20"/>
          <w:szCs w:val="20"/>
        </w:rPr>
        <w:t xml:space="preserve"> (К</w:t>
      </w:r>
      <w:r>
        <w:rPr>
          <w:b w:val="1"/>
          <w:color w:val="000000"/>
          <w:sz w:val="14"/>
          <w:szCs w:val="14"/>
          <w:vertAlign w:val="subscript"/>
        </w:rPr>
        <w:t>рс</w:t>
      </w:r>
      <w:r>
        <w:rPr>
          <w:b w:val="1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(вибрати один із варіантів):</w:t>
      </w:r>
    </w:p>
    <w:tbl>
      <w:tblPr>
        <w:tblStyle w:val="T5"/>
        <w:tblW w:w="10195" w:type="dxa"/>
        <w:tblInd w:w="0" w:type="dxa"/>
        <w:tblLayout w:type="fixed"/>
        <w:tblLook w:val="0400"/>
      </w:tblPr>
      <w:tblGrid/>
      <w:tr>
        <w:tc>
          <w:tcPr>
            <w:tcW w:w="71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6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Так / Ні</w:t>
            </w:r>
          </w:p>
        </w:tc>
        <w:tc>
          <w:tcPr>
            <w:tcW w:w="23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Значення коефіцієнта у разі відповіді «Так»</w:t>
            </w:r>
          </w:p>
        </w:tc>
      </w:tr>
      <w:tr>
        <w:tc>
          <w:tcPr>
            <w:tcW w:w="71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угода передбачає застосування додаткових засобів ресоціалізації у зобов’язаннях сторін. Способи та строки їх виконання зазначені в угоді та інформаційно-аналітичному звіті медіатора</w:t>
            </w:r>
          </w:p>
        </w:tc>
        <w:tc>
          <w:tcPr>
            <w:tcW w:w="6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3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</w:tr>
      <w:tr>
        <w:tc>
          <w:tcPr>
            <w:tcW w:w="71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угода не передбачає застосування </w:t>
            </w:r>
            <w:r>
              <w:rPr>
                <w:sz w:val="20"/>
                <w:szCs w:val="20"/>
              </w:rPr>
              <w:t xml:space="preserve">додаткових </w:t>
            </w:r>
            <w:r>
              <w:rPr>
                <w:color w:val="000000"/>
                <w:sz w:val="20"/>
                <w:szCs w:val="20"/>
              </w:rPr>
              <w:t>засобів ресоціалізації у зобов’язаннях сторін медіації</w:t>
            </w:r>
          </w:p>
        </w:tc>
        <w:tc>
          <w:tcPr>
            <w:tcW w:w="6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/>
        </w:tc>
        <w:tc>
          <w:tcPr>
            <w:tcW w:w="23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60" w:after="6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2.8. Строк подання акта надання послуг з медіації до центру</w:t>
      </w:r>
      <w:r>
        <w:rPr>
          <w:b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починаючи з дня, що настає за днем подання медіатором інформаційно-аналітичного звіту про можливість проведення медіації, в разі коли медіація не проводилась, або що настає за днем припинення медіації </w:t>
      </w:r>
      <w:r>
        <w:rPr>
          <w:b w:val="1"/>
          <w:color w:val="000000"/>
          <w:sz w:val="20"/>
          <w:szCs w:val="20"/>
        </w:rPr>
        <w:t>(К</w:t>
      </w:r>
      <w:r>
        <w:rPr>
          <w:b w:val="1"/>
          <w:color w:val="000000"/>
          <w:sz w:val="14"/>
          <w:szCs w:val="14"/>
          <w:vertAlign w:val="subscript"/>
        </w:rPr>
        <w:t>звіт</w:t>
      </w:r>
      <w:r>
        <w:rPr>
          <w:b w:val="1"/>
          <w:color w:val="000000"/>
          <w:sz w:val="20"/>
          <w:szCs w:val="20"/>
        </w:rPr>
        <w:t xml:space="preserve">) </w:t>
      </w:r>
      <w:r>
        <w:rPr>
          <w:sz w:val="14"/>
          <w:szCs w:val="14"/>
          <w:vertAlign w:val="superscript"/>
        </w:rPr>
        <w:t>6</w:t>
      </w:r>
      <w:r>
        <w:rPr>
          <w:color w:val="000000"/>
          <w:sz w:val="20"/>
          <w:szCs w:val="20"/>
        </w:rPr>
        <w:t> (вибрати один із варіантів):</w:t>
      </w:r>
    </w:p>
    <w:tbl>
      <w:tblPr>
        <w:tblStyle w:val="T5"/>
        <w:tblW w:w="8115" w:type="dxa"/>
        <w:tblInd w:w="0" w:type="dxa"/>
        <w:tblLayout w:type="fixed"/>
        <w:tblLook w:val="0400"/>
      </w:tblPr>
      <w:tblGrid/>
      <w:tr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200" w:beforeAutospacing="0" w:afterAutospacing="0"/>
              <w:jc w:val="both"/>
              <w:rPr>
                <w:color w:val="000000"/>
              </w:rPr>
            </w:pPr>
            <w:r>
              <w:rPr>
                <w:rFonts w:ascii="Arial Unicode MS" w:hAnsi="Arial Unicode MS"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 до 45 днів;</w:t>
            </w:r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200" w:beforeAutospacing="0" w:afterAutospacing="0"/>
              <w:jc w:val="both"/>
              <w:rPr>
                <w:color w:val="000000"/>
              </w:rPr>
            </w:pPr>
            <w:r>
              <w:rPr>
                <w:rFonts w:ascii="Arial Unicode MS" w:hAnsi="Arial Unicode MS"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 від 46 до 60 днів;</w:t>
            </w:r>
          </w:p>
        </w:tc>
        <w:tc>
          <w:tcPr>
            <w:tcW w:w="17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200" w:beforeAutospacing="0" w:afterAutospacing="0"/>
              <w:jc w:val="both"/>
              <w:rPr>
                <w:color w:val="000000"/>
              </w:rPr>
            </w:pPr>
            <w:r>
              <w:rPr>
                <w:rFonts w:ascii="Arial Unicode MS" w:hAnsi="Arial Unicode MS"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 від 61 до 90 днів;</w:t>
            </w:r>
          </w:p>
        </w:tc>
        <w:tc>
          <w:tcPr>
            <w:tcW w:w="1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200" w:beforeAutospacing="0" w:afterAutospacing="0"/>
              <w:jc w:val="both"/>
              <w:rPr>
                <w:color w:val="000000"/>
              </w:rPr>
            </w:pPr>
            <w:r>
              <w:rPr>
                <w:rFonts w:ascii="Arial Unicode MS" w:hAnsi="Arial Unicode MS"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 від 91 до 120 днів;</w:t>
            </w:r>
          </w:p>
        </w:tc>
        <w:tc>
          <w:tcPr>
            <w:tcW w:w="15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200"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ascii="Arial Unicode MS" w:hAnsi="Arial Unicode MS"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 понад 120 днів.</w:t>
            </w:r>
          </w:p>
        </w:tc>
      </w:tr>
    </w:tbl>
    <w:p>
      <w:pPr>
        <w:spacing w:lineRule="auto" w:line="276" w:beforeAutospacing="0" w:afterAutospacing="0"/>
        <w:jc w:val="both"/>
        <w:rPr>
          <w:sz w:val="20"/>
          <w:szCs w:val="20"/>
        </w:rPr>
      </w:pPr>
      <w:r>
        <w:rPr>
          <w:sz w:val="14"/>
          <w:szCs w:val="14"/>
          <w:vertAlign w:val="superscript"/>
        </w:rPr>
        <w:t xml:space="preserve">6 </w:t>
      </w:r>
      <w:r>
        <w:rPr>
          <w:sz w:val="20"/>
          <w:szCs w:val="20"/>
        </w:rPr>
        <w:t>У період воєнного стану, а також протягом трьох місяців з дня його припинення чи скасування К</w:t>
      </w:r>
      <w:r>
        <w:rPr>
          <w:sz w:val="20"/>
          <w:szCs w:val="20"/>
          <w:vertAlign w:val="subscript"/>
        </w:rPr>
        <w:t>звіт</w:t>
      </w:r>
      <w:r>
        <w:rPr>
          <w:sz w:val="20"/>
          <w:szCs w:val="20"/>
        </w:rPr>
        <w:t xml:space="preserve"> приймається рівним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after="120" w:beforeAutospacing="0" w:afterAutospacing="0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 xml:space="preserve">2.9. Кількість медіаторів, які разом (в комедіації) здійснювали заходи з підготовки до медіації та проведення медіації (КМ): ______ </w:t>
      </w:r>
      <w:r>
        <w:rPr>
          <w:color w:val="000000"/>
          <w:sz w:val="20"/>
          <w:szCs w:val="20"/>
        </w:rPr>
        <w:t>особа/осіб.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BFBFBF"/>
        <w:jc w:val="both"/>
        <w:rPr>
          <w:color w:val="000000"/>
          <w:shd w:val="clear" w:color="auto" w:fill="CCCCCC"/>
        </w:rPr>
      </w:pPr>
      <w:r>
        <w:rPr>
          <w:b w:val="1"/>
          <w:color w:val="000000"/>
          <w:sz w:val="20"/>
          <w:szCs w:val="20"/>
        </w:rPr>
        <w:t xml:space="preserve">3. ПЕРЕЛІК ДОКУМЕНТІВ, ЩО ПІДТВЕРДЖУЮТЬ НАВЕДЕНІ ДАНІ </w:t>
      </w:r>
      <w:r>
        <w:rPr>
          <w:color w:val="000000"/>
          <w:sz w:val="20"/>
          <w:szCs w:val="20"/>
        </w:rPr>
        <w:t>(відмітити потрібне) (додаються на __ арк.):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  <w:r>
        <w:rPr>
          <w:rFonts w:ascii="Arial Unicode MS" w:hAnsi="Arial Unicode MS"/>
          <w:color w:val="000000"/>
          <w:sz w:val="20"/>
          <w:szCs w:val="20"/>
        </w:rPr>
        <w:t xml:space="preserve">☐ </w:t>
      </w:r>
      <w:r>
        <w:rPr>
          <w:color w:val="000000"/>
          <w:sz w:val="20"/>
          <w:szCs w:val="20"/>
        </w:rPr>
        <w:t>інформаційно-аналітичний звіт медіатора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  <w:r>
        <w:rPr>
          <w:rFonts w:ascii="Arial Unicode MS" w:hAnsi="Arial Unicode MS"/>
          <w:color w:val="000000"/>
          <w:sz w:val="20"/>
          <w:szCs w:val="20"/>
        </w:rPr>
        <w:t xml:space="preserve">☐ </w:t>
      </w:r>
      <w:r>
        <w:rPr>
          <w:color w:val="000000"/>
          <w:sz w:val="20"/>
          <w:szCs w:val="20"/>
        </w:rPr>
        <w:t>протокол зустрічі (протоколи зустрічей)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</w:pPr>
      <w:r>
        <w:rPr>
          <w:rFonts w:ascii="Arial Unicode MS" w:hAnsi="Arial Unicode MS"/>
          <w:color w:val="000000"/>
          <w:sz w:val="20"/>
          <w:szCs w:val="20"/>
        </w:rPr>
        <w:t xml:space="preserve">☐ </w:t>
      </w:r>
      <w:r>
        <w:rPr>
          <w:color w:val="000000"/>
          <w:sz w:val="20"/>
          <w:szCs w:val="20"/>
        </w:rPr>
        <w:t xml:space="preserve">інше (зазначити) </w:t>
      </w:r>
      <w:r>
        <w:rPr>
          <w:sz w:val="20"/>
          <w:szCs w:val="20"/>
        </w:rPr>
        <w:t>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BFBFBF"/>
        <w:jc w:val="both"/>
        <w:rPr>
          <w:color w:val="000000"/>
        </w:rPr>
      </w:pPr>
      <w:r>
        <w:rPr>
          <w:b w:val="1"/>
          <w:color w:val="000000"/>
          <w:sz w:val="20"/>
          <w:szCs w:val="20"/>
        </w:rPr>
        <w:t>4. РОЗМІР ВИНАГОРОДИ МЕДІАТОРА  ЗА НАДАННЯ ПОСЛУГ З МЕДІАЦІЇ: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  <w:r>
        <w:rPr>
          <w:color w:val="000000"/>
          <w:sz w:val="20"/>
          <w:szCs w:val="20"/>
        </w:rPr>
        <w:t>РВ = (10 х _____ х _____ х _____ х _____ + ________ ) х ___,___ грн х _____ х _____ х  _____  / _____ = ______,___ грн.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>                  </w:t>
      </w:r>
      <w:r>
        <w:rPr>
          <w:color w:val="000000"/>
        </w:rPr>
        <w:t>   К</w:t>
      </w:r>
      <w:r>
        <w:rPr>
          <w:color w:val="000000"/>
          <w:sz w:val="16"/>
          <w:szCs w:val="16"/>
          <w:vertAlign w:val="subscript"/>
        </w:rPr>
        <w:t>ЗП</w:t>
      </w:r>
      <w:r>
        <w:rPr>
          <w:color w:val="000000"/>
        </w:rPr>
        <w:t xml:space="preserve">       К</w:t>
      </w:r>
      <w:r>
        <w:rPr>
          <w:color w:val="000000"/>
          <w:sz w:val="16"/>
          <w:szCs w:val="16"/>
          <w:vertAlign w:val="subscript"/>
        </w:rPr>
        <w:t>КС</w:t>
      </w:r>
      <w:r>
        <w:rPr>
          <w:color w:val="000000"/>
        </w:rPr>
        <w:t>      К</w:t>
      </w:r>
      <w:r>
        <w:rPr>
          <w:color w:val="000000"/>
          <w:sz w:val="16"/>
          <w:szCs w:val="16"/>
          <w:vertAlign w:val="subscript"/>
        </w:rPr>
        <w:t>ОКСК</w:t>
      </w:r>
      <w:r>
        <w:rPr>
          <w:color w:val="000000"/>
        </w:rPr>
        <w:t xml:space="preserve">     К</w:t>
      </w:r>
      <w:r>
        <w:rPr>
          <w:color w:val="000000"/>
          <w:sz w:val="16"/>
          <w:szCs w:val="16"/>
          <w:vertAlign w:val="subscript"/>
        </w:rPr>
        <w:t>ТЕР1</w:t>
      </w:r>
      <w:r>
        <w:rPr>
          <w:color w:val="000000"/>
        </w:rPr>
        <w:t xml:space="preserve">       </w:t>
      </w:r>
      <w:r>
        <w:rPr>
          <w:color w:val="000000"/>
          <w:sz w:val="22"/>
          <w:szCs w:val="22"/>
        </w:rPr>
        <w:t>Загальна</w:t>
      </w:r>
      <w:r>
        <w:rPr>
          <w:color w:val="000000"/>
        </w:rPr>
        <w:t xml:space="preserve">         О</w:t>
      </w:r>
      <w:r>
        <w:rPr>
          <w:color w:val="000000"/>
          <w:sz w:val="16"/>
          <w:szCs w:val="16"/>
          <w:vertAlign w:val="subscript"/>
        </w:rPr>
        <w:t>ГОД</w:t>
      </w:r>
      <w:r>
        <w:rPr>
          <w:color w:val="000000"/>
        </w:rPr>
        <w:t>                К</w:t>
      </w:r>
      <w:r>
        <w:rPr>
          <w:color w:val="000000"/>
          <w:sz w:val="16"/>
          <w:szCs w:val="16"/>
          <w:vertAlign w:val="subscript"/>
        </w:rPr>
        <w:t>КК</w:t>
      </w:r>
      <w:r>
        <w:rPr>
          <w:color w:val="000000"/>
        </w:rPr>
        <w:t xml:space="preserve">         К</w:t>
      </w:r>
      <w:r>
        <w:rPr>
          <w:color w:val="000000"/>
          <w:sz w:val="16"/>
          <w:szCs w:val="16"/>
          <w:vertAlign w:val="subscript"/>
        </w:rPr>
        <w:t>РС</w:t>
      </w:r>
      <w:r>
        <w:rPr>
          <w:color w:val="000000"/>
        </w:rPr>
        <w:t xml:space="preserve">       К</w:t>
      </w:r>
      <w:r>
        <w:rPr>
          <w:color w:val="000000"/>
          <w:sz w:val="16"/>
          <w:szCs w:val="16"/>
          <w:vertAlign w:val="subscript"/>
        </w:rPr>
        <w:t xml:space="preserve">ЗВІТ.         </w:t>
      </w:r>
      <w:r>
        <w:rPr>
          <w:color w:val="000000"/>
        </w:rPr>
        <w:t>КМ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</w:t>
      </w:r>
      <w:r>
        <w:rPr>
          <w:color w:val="000000"/>
          <w:sz w:val="18"/>
          <w:szCs w:val="18"/>
        </w:rPr>
        <w:t>тривалість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  <w:r>
        <w:rPr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усіх зустрічей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  <w:r>
        <w:rPr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з урахуванням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  <w:r>
        <w:rPr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коефіцієнтів (п. 2.5)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after="200" w:beforeAutospacing="0" w:afterAutospacing="0"/>
        <w:rPr>
          <w:sz w:val="16"/>
          <w:szCs w:val="16"/>
        </w:rPr>
      </w:pPr>
      <w:r>
        <w:rPr>
          <w:color w:val="000000"/>
          <w:sz w:val="20"/>
          <w:szCs w:val="20"/>
        </w:rPr>
        <w:t>Достовірність інформації, зазначеної у цьому додатку, підтверджую.</w:t>
      </w:r>
    </w:p>
    <w:tbl>
      <w:tblPr>
        <w:tblStyle w:val="T5"/>
        <w:tblW w:w="10314" w:type="dxa"/>
        <w:tblInd w:w="0" w:type="dxa"/>
        <w:tblLayout w:type="fixed"/>
        <w:tblLook w:val="0000"/>
      </w:tblPr>
      <w:tblGrid/>
      <w:tr>
        <w:trPr>
          <w:trHeight w:hRule="atLeast" w:val="353"/>
        </w:trPr>
        <w:tc>
          <w:tcPr>
            <w:tcW w:w="5548" w:type="dxa"/>
            <w:tcMar>
              <w:left w:w="28" w:type="dxa"/>
              <w:right w:w="28" w:type="dxa"/>
            </w:tcMar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Складено та подано до центру</w:t>
            </w:r>
            <w:r>
              <w:rPr>
                <w:sz w:val="20"/>
                <w:szCs w:val="20"/>
              </w:rPr>
              <w:t xml:space="preserve"> __ __ / __ __ / __ __ __ __</w:t>
            </w: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</w:t>
            </w:r>
          </w:p>
        </w:tc>
      </w:tr>
    </w:tbl>
    <w:p>
      <w:pPr>
        <w:spacing w:after="240" w:beforeAutospacing="0" w:afterAutospacing="0"/>
        <w:ind w:firstLine="706" w:left="2834"/>
        <w:rPr>
          <w:sz w:val="16"/>
          <w:szCs w:val="16"/>
        </w:rPr>
      </w:pPr>
      <w:r>
        <w:rPr>
          <w:sz w:val="16"/>
          <w:szCs w:val="16"/>
        </w:rPr>
        <w:t>(дата)</w:t>
        <w:tab/>
        <w:tab/>
        <w:t xml:space="preserve">                     (підпис/кваліфікований електронний підпис медіатора)</w:t>
      </w:r>
    </w:p>
    <w:tbl>
      <w:tblPr>
        <w:tblStyle w:val="T5"/>
        <w:tblW w:w="10376" w:type="dxa"/>
        <w:tblInd w:w="0" w:type="dxa"/>
        <w:tblLayout w:type="fixed"/>
        <w:tblLook w:val="0000"/>
      </w:tblPr>
      <w:tblGrid/>
      <w:tr>
        <w:trPr>
          <w:trHeight w:hRule="atLeast" w:val="353"/>
        </w:trPr>
        <w:tc>
          <w:tcPr>
            <w:tcW w:w="3794" w:type="dxa"/>
            <w:tcMar>
              <w:left w:w="28" w:type="dxa"/>
              <w:right w:w="28" w:type="dxa"/>
            </w:tcMar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Прийнято</w:t>
            </w:r>
            <w:r>
              <w:rPr>
                <w:sz w:val="20"/>
                <w:szCs w:val="20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>
            <w:pPr>
              <w:rPr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Центр</w:t>
            </w:r>
            <w:r>
              <w:rPr>
                <w:sz w:val="20"/>
                <w:szCs w:val="20"/>
              </w:rPr>
              <w:t xml:space="preserve"> _______________________________________</w:t>
            </w:r>
          </w:p>
        </w:tc>
        <w:tc>
          <w:tcPr>
            <w:tcW w:w="184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</w:tr>
    </w:tbl>
    <w:p>
      <w:pPr>
        <w:ind w:left="1418"/>
        <w:rPr>
          <w:sz w:val="16"/>
          <w:szCs w:val="16"/>
        </w:rPr>
      </w:pPr>
      <w:r>
        <w:rPr>
          <w:sz w:val="16"/>
          <w:szCs w:val="16"/>
        </w:rPr>
        <w:t>(дата)</w:t>
        <w:tab/>
        <w:tab/>
        <w:t xml:space="preserve">                                                 (прізвище, ініціали уповноваженої особи)</w:t>
        <w:tab/>
        <w:t xml:space="preserve">               (підпис/кваліфікований</w:t>
      </w:r>
    </w:p>
    <w:p>
      <w:pPr>
        <w:ind w:firstLine="720" w:left="7200"/>
        <w:rPr>
          <w:sz w:val="16"/>
          <w:szCs w:val="16"/>
        </w:rPr>
      </w:pPr>
      <w:r>
        <w:rPr>
          <w:sz w:val="16"/>
          <w:szCs w:val="16"/>
        </w:rPr>
        <w:t xml:space="preserve">                  електронний підпис)</w:t>
      </w:r>
      <w:bookmarkEnd w:id="0"/>
    </w:p>
    <w:sectPr>
      <w:type w:val="nextPage"/>
      <w:pgSz w:w="11906" w:h="16838" w:code="0"/>
      <w:pgMar w:left="1134" w:right="567" w:top="567" w:bottom="567" w:header="709" w:footer="709" w:gutter="0"/>
      <w:pgNumType w:start="1" w:chapSep="period"/>
      <w:cols w:equalWidth="1" w:space="720"/>
      <w:titlePg w:val="1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szCs w:val="24"/>
        <w:lang w:val="ru-RU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link w:val="C11"/>
    <w:semiHidden/>
    <w:qFormat/>
    <w:pPr>
      <w:spacing w:before="100" w:after="100" w:beforeAutospacing="1" w:afterAutospacing="1"/>
      <w:outlineLvl w:val="2"/>
    </w:pPr>
    <w:rPr>
      <w:b w:val="1"/>
      <w:bCs w:val="1"/>
      <w:sz w:val="27"/>
      <w:szCs w:val="27"/>
      <w:lang w:val="uk-UA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Normal (Web)"/>
    <w:basedOn w:val="P0"/>
    <w:pPr>
      <w:spacing w:before="100" w:after="100" w:beforeAutospacing="1" w:afterAutospacing="1"/>
    </w:pPr>
    <w:rPr/>
  </w:style>
  <w:style w:type="paragraph" w:styleId="P9">
    <w:name w:val="Абзац списка1"/>
    <w:basedOn w:val="P0"/>
    <w:pPr>
      <w:spacing w:lineRule="auto" w:line="276" w:after="200" w:beforeAutospacing="0" w:afterAutospacing="0"/>
      <w:ind w:left="720"/>
      <w:contextualSpacing w:val="1"/>
    </w:pPr>
    <w:rPr>
      <w:rFonts w:ascii="Calibri" w:hAnsi="Calibri"/>
      <w:sz w:val="22"/>
      <w:szCs w:val="22"/>
      <w:lang w:val="uk-UA" w:eastAsia="en-US"/>
    </w:rPr>
  </w:style>
  <w:style w:type="paragraph" w:styleId="P10">
    <w:name w:val="footnote text"/>
    <w:basedOn w:val="P0"/>
    <w:link w:val="C3"/>
    <w:semiHidden/>
    <w:pPr/>
    <w:rPr>
      <w:sz w:val="20"/>
      <w:szCs w:val="20"/>
    </w:rPr>
  </w:style>
  <w:style w:type="paragraph" w:styleId="P11">
    <w:name w:val="Balloon Text"/>
    <w:basedOn w:val="P0"/>
    <w:link w:val="C5"/>
    <w:semiHidden/>
    <w:pPr/>
    <w:rPr>
      <w:rFonts w:ascii="Tahoma" w:hAnsi="Tahoma"/>
      <w:sz w:val="16"/>
      <w:szCs w:val="16"/>
    </w:rPr>
  </w:style>
  <w:style w:type="paragraph" w:styleId="P12">
    <w:name w:val="header"/>
    <w:basedOn w:val="P0"/>
    <w:link w:val="C6"/>
    <w:pPr>
      <w:tabs>
        <w:tab w:val="center" w:pos="4819" w:leader="none"/>
        <w:tab w:val="right" w:pos="9639" w:leader="none"/>
      </w:tabs>
    </w:pPr>
    <w:rPr/>
  </w:style>
  <w:style w:type="paragraph" w:styleId="P13">
    <w:name w:val="footer"/>
    <w:basedOn w:val="P0"/>
    <w:link w:val="C7"/>
    <w:pPr>
      <w:tabs>
        <w:tab w:val="center" w:pos="4819" w:leader="none"/>
        <w:tab w:val="right" w:pos="9639" w:leader="none"/>
      </w:tabs>
    </w:pPr>
    <w:rPr/>
  </w:style>
  <w:style w:type="paragraph" w:styleId="P14">
    <w:name w:val="Subtitle"/>
    <w:basedOn w:val="P0"/>
    <w:next w:val="P0"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иноски Знак"/>
    <w:link w:val="P10"/>
    <w:semiHidden/>
    <w:rPr>
      <w:rFonts w:ascii="Times New Roman" w:hAnsi="Times New Roman"/>
      <w:sz w:val="20"/>
      <w:lang w:val="ru-RU" w:eastAsia="ru-RU"/>
    </w:rPr>
  </w:style>
  <w:style w:type="character" w:styleId="C4">
    <w:name w:val="footnote reference"/>
    <w:semiHidden/>
    <w:rPr>
      <w:vertAlign w:val="superscript"/>
    </w:rPr>
  </w:style>
  <w:style w:type="character" w:styleId="C5">
    <w:name w:val="Текст у виносці Знак"/>
    <w:link w:val="P11"/>
    <w:semiHidden/>
    <w:rPr>
      <w:rFonts w:ascii="Tahoma" w:hAnsi="Tahoma"/>
      <w:sz w:val="16"/>
      <w:lang w:val="ru-RU" w:eastAsia="ru-RU"/>
    </w:rPr>
  </w:style>
  <w:style w:type="character" w:styleId="C6">
    <w:name w:val="Верхній колонтитул Знак"/>
    <w:link w:val="P12"/>
    <w:rPr>
      <w:rFonts w:ascii="Times New Roman" w:hAnsi="Times New Roman"/>
      <w:sz w:val="24"/>
      <w:lang w:val="ru-RU" w:eastAsia="ru-RU"/>
    </w:rPr>
  </w:style>
  <w:style w:type="character" w:styleId="C7">
    <w:name w:val="Нижній колонтитул Знак"/>
    <w:link w:val="P13"/>
    <w:rPr>
      <w:rFonts w:ascii="Times New Roman" w:hAnsi="Times New Roman"/>
      <w:sz w:val="24"/>
      <w:lang w:val="ru-RU" w:eastAsia="ru-RU"/>
    </w:rPr>
  </w:style>
  <w:style w:type="character" w:styleId="C8">
    <w:name w:val="st131"/>
    <w:rPr>
      <w:i w:val="1"/>
      <w:color w:val="0000FF"/>
    </w:rPr>
  </w:style>
  <w:style w:type="character" w:styleId="C9">
    <w:name w:val="st46"/>
    <w:rPr>
      <w:i w:val="1"/>
      <w:color w:val="000000"/>
    </w:rPr>
  </w:style>
  <w:style w:type="character" w:styleId="C10">
    <w:name w:val="st121"/>
    <w:rPr>
      <w:i w:val="1"/>
      <w:iCs w:val="1"/>
      <w:color w:val="000000"/>
    </w:rPr>
  </w:style>
  <w:style w:type="character" w:styleId="C11">
    <w:name w:val="Заголовок 3 Знак"/>
    <w:basedOn w:val="C0"/>
    <w:link w:val="P3"/>
    <w:rPr>
      <w:rFonts w:ascii="Times New Roman" w:hAnsi="Times New Roman"/>
      <w:b w:val="1"/>
      <w:bCs w:val="1"/>
      <w:sz w:val="27"/>
      <w:szCs w:val="27"/>
    </w:rPr>
  </w:style>
  <w:style w:type="character" w:styleId="C12">
    <w:name w:val="apple-tab-span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4">
    <w:name w:val="Table Grid"/>
    <w:basedOn w:val="T0"/>
    <w:rPr>
      <w:sz w:val="22"/>
      <w:szCs w:val="22"/>
      <w:lang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5">
    <w:name w:val=""/>
    <w:basedOn w:val="T3"/>
    <w:tblPr>
      <w:tblStyleRowBandSize w:val="1"/>
      <w:tblStyleColBandSize w:val="1"/>
      <w:tblCellMar>
        <w:left w:w="115" w:type="dxa"/>
        <w:right w:w="115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9IE4oCLL+yh6kK52c9LR0Fqv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h8KATgSGgoYCAlSFAoSdGFibGUuY2hoM2RtYnExcDZhIpECCgtBQUFCbXR4VFRhURLbAQoLQUFBQm10eFRUYVESC0FBQUJtdHhUVGFRGg0KCXRleHQvaHRtbBIAIg4KCnRleHQvcGxhaW4SACobIhUxMDg3MzE1NDM2MzQ4NDk0MjY3NjUoADgAMIy864z7Mji9weuM+zJKOwokYXBwbGljYXRpb24vdm5kLmdvb2dsZS1hcHBzLmRvY3MubWRzGhPC19rkAQ0SCwoHCgExEAEYABABWgxyMjdkYWdlMzYwYjZyAiAAeACCARRzdWdnZXN0Lm81N3ZwbXlsc2VuN5oBBggAEAAYALABALgBABiMvOuM+zIgvcHrjPsyMABCFHN1Z2dlc3QubzU3dnBteWxzZW43OABqNQoUc3VnZ2VzdC5hdzIzeTJ1NmxmbmESHdCh0LLQtdGC0LvQsNC90LAg0JrQvtCy0YLRg9C9aiUKFHN1Z2dlc3QubzU3dnBteWxzZW43Eg1Bbm5hIE1lcmVkb3ZhajUKFHN1Z2dlc3QuN2trbWEzY25lOThzEh3QodCy0LXRgtC70LDQvdCwINCa0L7QstGC0YPQvWo1ChRzdWdnZXN0LnZoenIwZ3h3NXZyaRId0KHQstC10YLQu9Cw0L3QsCDQmtC+0LLRgtGD0L1qJQoUc3VnZ2VzdC52bXpkNG1jczBkc3USDUFubmEgTWVyZWRvdmFyITFmV1VQZlRBbzRjOHlFTjBmQXc0a0RGMnh3SnpxSnd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Бондаренко Ірина</dc:creator>
  <dcterms:created xsi:type="dcterms:W3CDTF">2025-06-30T19:13:00Z</dcterms:created>
  <cp:lastModifiedBy>ASKOD</cp:lastModifiedBy>
  <dcterms:modified xsi:type="dcterms:W3CDTF">2025-07-01T09:29:58Z</dcterms:modified>
  <cp:revision>3</cp:revision>
</cp:coreProperties>
</file>