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ind w:left="5040"/>
        <w:rPr>
          <w:sz w:val="24"/>
          <w:szCs w:val="24"/>
        </w:rPr>
      </w:pPr>
      <w:r>
        <w:rPr>
          <w:sz w:val="24"/>
          <w:szCs w:val="24"/>
        </w:rPr>
        <w:t xml:space="preserve">Додаток 2 </w:t>
      </w:r>
    </w:p>
    <w:p>
      <w:pPr>
        <w:ind w:left="5040"/>
        <w:rPr>
          <w:b w:val="1"/>
          <w:color w:val="000000"/>
        </w:rPr>
      </w:pPr>
      <w:r>
        <w:rPr>
          <w:sz w:val="24"/>
          <w:szCs w:val="24"/>
        </w:rPr>
        <w:t xml:space="preserve">до Порядку і умов укладення договорів з медіаторами, які залучаються центрами з надання безоплатної правничої допомоги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76" w:beforeAutospacing="0" w:afterAutospacing="0"/>
        <w:jc w:val="center"/>
        <w:rPr>
          <w:b w:val="1"/>
          <w:color w:val="000000"/>
          <w:sz w:val="24"/>
          <w:szCs w:val="24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76" w:beforeAutospacing="0" w:afterAutospacing="0"/>
        <w:jc w:val="center"/>
        <w:rPr>
          <w:b w:val="1"/>
          <w:color w:val="000000"/>
          <w:sz w:val="24"/>
          <w:szCs w:val="24"/>
        </w:rPr>
      </w:pPr>
      <w:r>
        <w:rPr>
          <w:b w:val="1"/>
          <w:sz w:val="24"/>
          <w:szCs w:val="24"/>
        </w:rPr>
        <w:t xml:space="preserve">ТИПОВИЙ </w:t>
      </w:r>
      <w:r>
        <w:rPr>
          <w:b w:val="1"/>
          <w:color w:val="000000"/>
          <w:sz w:val="24"/>
          <w:szCs w:val="24"/>
        </w:rPr>
        <w:t xml:space="preserve">ДОГОВІР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jc w:val="center"/>
        <w:rPr>
          <w:b w:val="1"/>
          <w:color w:val="000000"/>
          <w:sz w:val="24"/>
          <w:szCs w:val="24"/>
        </w:rPr>
      </w:pPr>
      <w:r>
        <w:rPr>
          <w:b w:val="1"/>
          <w:color w:val="000000"/>
          <w:sz w:val="24"/>
          <w:szCs w:val="24"/>
        </w:rPr>
        <w:t>про надання по</w:t>
      </w:r>
      <w:r>
        <w:rPr>
          <w:b w:val="1"/>
          <w:sz w:val="24"/>
          <w:szCs w:val="24"/>
        </w:rPr>
        <w:t xml:space="preserve">слуг з медіації, проведення якої забезпечують центри з надання безоплатної правничої допомоги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jc w:val="both"/>
        <w:rPr>
          <w:color w:val="000000"/>
          <w:sz w:val="24"/>
          <w:szCs w:val="24"/>
        </w:rPr>
      </w:pPr>
      <w:bookmarkStart w:id="0" w:name="_heading=h.gjdgxs"/>
      <w:bookmarkEnd w:id="0"/>
      <w:r>
        <w:rPr>
          <w:b w:val="1"/>
          <w:color w:val="000000"/>
          <w:sz w:val="24"/>
          <w:szCs w:val="24"/>
        </w:rPr>
        <w:t xml:space="preserve">    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м. ________</w:t>
        <w:tab/>
        <w:tab/>
        <w:tab/>
        <w:tab/>
        <w:tab/>
        <w:tab/>
        <w:t xml:space="preserve">                          «___ » _________ 20___ року</w:t>
      </w:r>
    </w:p>
    <w:p>
      <w:pPr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 (далі – Центр),</w:t>
      </w:r>
    </w:p>
    <w:p>
      <w:pPr>
        <w:jc w:val="center"/>
        <w:rPr>
          <w:sz w:val="16"/>
          <w:szCs w:val="16"/>
        </w:rPr>
      </w:pPr>
      <w:r>
        <w:rPr>
          <w:sz w:val="16"/>
          <w:szCs w:val="16"/>
        </w:rPr>
        <w:t>(найменування міжрегіонального центру з надання безоплатної правничої допомоги)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>
      <w:pPr>
        <w:ind w:firstLine="567"/>
        <w:jc w:val="center"/>
        <w:rPr>
          <w:sz w:val="16"/>
          <w:szCs w:val="16"/>
        </w:rPr>
      </w:pPr>
      <w:r>
        <w:rPr>
          <w:sz w:val="16"/>
          <w:szCs w:val="16"/>
        </w:rPr>
        <w:t>(адреса місцезнаходження Центру)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>ідентифікаційний код згідно з відомостями Єдиного державного реєстру юридичних осіб, фізичних осіб-підприємців та громадських формувань (далі – ЄДРПОУ) ______________________, в особі директора/уповноваженої особи Центру_________________________________________________________________________,</w:t>
      </w:r>
    </w:p>
    <w:p>
      <w:pPr>
        <w:ind w:firstLine="56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(прізвище, власне ім’я, по батькові (за наявності) директора Центру/уповноваженої особи центру)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що діє на підставі ________________________________________________________________ </w:t>
      </w:r>
    </w:p>
    <w:p>
      <w:pPr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(Положення про ___________ центр з надання безоплатної правничої допомоги, затвердженого наказом Координаційного центру з надання правничої допомоги від ___№ __/наказу ___________ центру з надання безоплатної правничої допомоги від ____ №______)</w:t>
      </w:r>
      <w:r>
        <w:rPr>
          <w:sz w:val="24"/>
          <w:szCs w:val="24"/>
        </w:rPr>
        <w:t>,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>з однієї сторони, та медіатор ______________________________________________________,</w:t>
      </w:r>
    </w:p>
    <w:p>
      <w:pPr>
        <w:ind w:firstLine="567"/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</w:t>
      </w:r>
      <w:r>
        <w:rPr>
          <w:sz w:val="16"/>
          <w:szCs w:val="16"/>
        </w:rPr>
        <w:t xml:space="preserve">                          (прізвище, власне ім’я, по батькові (за наявності) медіатора),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який проживає за адресою: ________________________________________________________,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паспорт серії _____</w:t>
      </w:r>
      <w:r>
        <w:rPr>
          <w:b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№ ________, виданий _________________ «____» ___________ ___ року, </w:t>
      </w:r>
    </w:p>
    <w:p>
      <w:pPr>
        <w:jc w:val="center"/>
        <w:rPr>
          <w:sz w:val="14"/>
          <w:szCs w:val="14"/>
        </w:rPr>
      </w:pPr>
      <w:r>
        <w:rPr>
          <w:i w:val="1"/>
          <w:sz w:val="16"/>
          <w:szCs w:val="16"/>
        </w:rPr>
        <w:t xml:space="preserve"> </w:t>
        <w:tab/>
        <w:tab/>
        <w:tab/>
        <w:tab/>
        <w:tab/>
      </w:r>
      <w:r>
        <w:rPr>
          <w:sz w:val="16"/>
          <w:szCs w:val="16"/>
        </w:rPr>
        <w:t xml:space="preserve"> (ким)</w:t>
        <w:tab/>
      </w:r>
      <w:r>
        <w:rPr>
          <w:i w:val="1"/>
          <w:sz w:val="16"/>
          <w:szCs w:val="16"/>
        </w:rPr>
        <w:tab/>
        <w:tab/>
        <w:t xml:space="preserve">          </w:t>
      </w:r>
      <w:r>
        <w:rPr>
          <w:sz w:val="14"/>
          <w:szCs w:val="14"/>
        </w:rPr>
        <w:t>(коли)</w:t>
      </w:r>
    </w:p>
    <w:p>
      <w:pPr>
        <w:jc w:val="both"/>
        <w:rPr>
          <w:sz w:val="24"/>
          <w:szCs w:val="24"/>
        </w:rPr>
      </w:pPr>
      <w:bookmarkStart w:id="1" w:name="_heading=h.30j0zll"/>
      <w:bookmarkEnd w:id="1"/>
      <w:r>
        <w:rPr>
          <w:sz w:val="24"/>
          <w:szCs w:val="24"/>
        </w:rPr>
        <w:t>реєстраційний номер облікової картки платника податків</w:t>
      </w:r>
      <w:r>
        <w:rPr>
          <w:rStyle w:val="C6"/>
          <w:sz w:val="24"/>
          <w:szCs w:val="24"/>
        </w:rPr>
        <w:footnoteReference w:id="1"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z w:val="24"/>
          <w:szCs w:val="24"/>
        </w:rPr>
        <w:t xml:space="preserve">далі </w:t>
      </w:r>
      <w:r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>
        <w:rPr>
          <w:sz w:val="26"/>
          <w:szCs w:val="26"/>
        </w:rPr>
        <w:t>РНОКПП</w:t>
      </w:r>
      <w:r>
        <w:rPr>
          <w:sz w:val="26"/>
          <w:szCs w:val="26"/>
        </w:rPr>
        <w:t>)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та здійснює діяльність медіатора індивідуально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 w:val="1"/>
          <w:sz w:val="24"/>
          <w:szCs w:val="24"/>
        </w:rPr>
        <w:t>як фізична</w:t>
      </w:r>
      <w:r>
        <w:rPr>
          <w:b w:val="1"/>
          <w:sz w:val="24"/>
          <w:szCs w:val="24"/>
        </w:rPr>
        <w:t>,</w:t>
      </w:r>
      <w:r>
        <w:rPr>
          <w:b w:val="1"/>
          <w:sz w:val="24"/>
          <w:szCs w:val="24"/>
        </w:rPr>
        <w:t xml:space="preserve"> що провадить незалежну професійну діяльність</w:t>
      </w:r>
      <w:r>
        <w:rPr>
          <w:sz w:val="24"/>
          <w:szCs w:val="24"/>
        </w:rPr>
        <w:t>/</w:t>
      </w:r>
      <w:r>
        <w:rPr>
          <w:b w:val="1"/>
          <w:sz w:val="24"/>
          <w:szCs w:val="24"/>
        </w:rPr>
        <w:t>фізична особа</w:t>
      </w:r>
      <w:r>
        <w:rPr>
          <w:b w:val="1"/>
          <w:sz w:val="24"/>
          <w:szCs w:val="24"/>
        </w:rPr>
        <w:t>-</w:t>
      </w:r>
      <w:r>
        <w:rPr>
          <w:b w:val="1"/>
          <w:sz w:val="24"/>
          <w:szCs w:val="24"/>
        </w:rPr>
        <w:t>підприємець</w:t>
      </w:r>
      <w:r>
        <w:rPr>
          <w:sz w:val="24"/>
          <w:szCs w:val="24"/>
        </w:rPr>
        <w:t xml:space="preserve"> за видом економічної діяльності </w:t>
      </w:r>
      <w:r>
        <w:rPr>
          <w:sz w:val="24"/>
          <w:szCs w:val="24"/>
        </w:rPr>
        <w:t>(</w:t>
      </w:r>
      <w:r>
        <w:rPr>
          <w:sz w:val="24"/>
          <w:szCs w:val="24"/>
        </w:rPr>
        <w:t>КВЕД</w:t>
      </w:r>
      <w:r>
        <w:rPr>
          <w:sz w:val="24"/>
          <w:szCs w:val="24"/>
        </w:rPr>
        <w:t>)</w:t>
      </w:r>
      <w:r>
        <w:rPr>
          <w:sz w:val="24"/>
          <w:szCs w:val="24"/>
        </w:rPr>
        <w:t xml:space="preserve"> 74</w:t>
      </w:r>
      <w:r>
        <w:rPr>
          <w:sz w:val="24"/>
          <w:szCs w:val="24"/>
        </w:rPr>
        <w:t>.</w:t>
      </w:r>
      <w:r>
        <w:rPr>
          <w:sz w:val="24"/>
          <w:szCs w:val="24"/>
        </w:rPr>
        <w:t>90 Інша професійна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наукова та технічна діяльність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н</w:t>
      </w:r>
      <w:r>
        <w:rPr>
          <w:sz w:val="24"/>
          <w:szCs w:val="24"/>
        </w:rPr>
        <w:t>.</w:t>
      </w:r>
      <w:r>
        <w:rPr>
          <w:sz w:val="24"/>
          <w:szCs w:val="24"/>
        </w:rPr>
        <w:t>в</w:t>
      </w:r>
      <w:r>
        <w:rPr>
          <w:sz w:val="24"/>
          <w:szCs w:val="24"/>
        </w:rPr>
        <w:t>.</w:t>
      </w:r>
      <w:r>
        <w:rPr>
          <w:sz w:val="24"/>
          <w:szCs w:val="24"/>
        </w:rPr>
        <w:t>і</w:t>
      </w:r>
      <w:r>
        <w:rPr>
          <w:sz w:val="24"/>
          <w:szCs w:val="24"/>
        </w:rPr>
        <w:t>.</w:t>
      </w:r>
      <w:r>
        <w:rPr>
          <w:sz w:val="24"/>
          <w:szCs w:val="24"/>
        </w:rPr>
        <w:t>у</w:t>
      </w:r>
      <w:r>
        <w:rPr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на підставі 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  <w:r>
        <w:rPr>
          <w:sz w:val="24"/>
          <w:szCs w:val="24"/>
        </w:rPr>
        <w:t>_</w:t>
      </w:r>
    </w:p>
    <w:p>
      <w:pPr>
        <w:jc w:val="center"/>
        <w:rPr>
          <w:color w:val="000000"/>
          <w:sz w:val="16"/>
          <w:szCs w:val="16"/>
          <w:highlight w:val="white"/>
        </w:rPr>
      </w:pPr>
      <w:r>
        <w:rPr>
          <w:color w:val="000000"/>
          <w:sz w:val="16"/>
          <w:szCs w:val="16"/>
        </w:rPr>
        <w:t>(</w:t>
      </w:r>
      <w:r>
        <w:rPr>
          <w:color w:val="000000"/>
          <w:sz w:val="16"/>
          <w:szCs w:val="16"/>
          <w:highlight w:val="white"/>
        </w:rPr>
        <w:t xml:space="preserve">дата та номер </w:t>
      </w:r>
      <w:r>
        <w:rPr>
          <w:color w:val="000000"/>
          <w:sz w:val="16"/>
          <w:szCs w:val="16"/>
        </w:rPr>
        <w:t>довідки про взяття на облік платника податків, відомості щодо якого не підлягають включенню до Єдиного державного реєстру (34-ОПП)</w:t>
      </w:r>
      <w:r>
        <w:rPr>
          <w:color w:val="000000"/>
          <w:sz w:val="16"/>
          <w:szCs w:val="16"/>
          <w:highlight w:val="white"/>
        </w:rPr>
        <w:t>, що</w:t>
      </w:r>
      <w:r>
        <w:rPr>
          <w:color w:val="000000"/>
          <w:sz w:val="16"/>
          <w:szCs w:val="16"/>
        </w:rPr>
        <w:t xml:space="preserve"> є свідоцтвом про реєстрацію у контролюючому органі фізичної особи, яка провадить незалежну професійну діяльність</w:t>
      </w:r>
      <w:r>
        <w:rPr>
          <w:color w:val="000000"/>
          <w:sz w:val="16"/>
          <w:szCs w:val="16"/>
          <w:highlight w:val="white"/>
        </w:rPr>
        <w:t>/ дата та номер запису в Єдиному державному реєстрі юридичних осіб, фізичних осіб-підприємців та громадських формувань)</w:t>
      </w:r>
    </w:p>
    <w:p>
      <w:pPr>
        <w:jc w:val="center"/>
        <w:rPr>
          <w:b w:val="1"/>
          <w:color w:val="000000"/>
          <w:sz w:val="16"/>
          <w:szCs w:val="16"/>
        </w:rPr>
      </w:pP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включений до Реєстру медіаторів, які залучаються центрами з надання безоплатної правничої допомоги (далі – Реєстр), свідоцтво про підтвердження спеціалізації медіатора                                 для надання послуг з медіації, проведення якої забезпечують центри з                                          надання безоплатної правничої допомоги, за найменуванням спеціалізації «медіація                          у відновному правосудді за участю неповнолітніх осіб» (далі – свідоцтво про             підтвердження спеціалізації медіатора), видане Координаційним центром з надання правничої допомоги (далі – Координаційний центр) ___________________________________</w:t>
      </w:r>
    </w:p>
    <w:p>
      <w:pPr>
        <w:ind w:left="5760"/>
        <w:jc w:val="center"/>
        <w:rPr>
          <w:sz w:val="16"/>
          <w:szCs w:val="16"/>
        </w:rPr>
      </w:pPr>
      <w:r>
        <w:rPr>
          <w:sz w:val="16"/>
          <w:szCs w:val="16"/>
        </w:rPr>
        <w:t>(дата та номер свідоцтва про підтвердження спеціалізації медіатора)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>(далі – медіатор), з іншої сторони (далі разом – Сторони), що діють на підставі договору про співпрацю центру з надання безоплатної правничої допомоги з медіатором щодо надання послуг з медіації від «___»_______________20___ року № ____ (далі – договір про співпрацю), керуючись статтями 6, 627, 641, 901-907 Цивільного кодексу України, уклали цей договір (далі – Договір) про таке.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jc w:val="both"/>
        <w:rPr>
          <w:color w:val="000000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jc w:val="center"/>
        <w:rPr>
          <w:b w:val="1"/>
          <w:color w:val="000000"/>
          <w:sz w:val="24"/>
          <w:szCs w:val="24"/>
        </w:rPr>
      </w:pPr>
      <w:r>
        <w:rPr>
          <w:b w:val="1"/>
          <w:color w:val="000000"/>
          <w:sz w:val="24"/>
          <w:szCs w:val="24"/>
        </w:rPr>
        <w:t>Предмет Договору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jc w:val="center"/>
        <w:rPr>
          <w:color w:val="000000"/>
        </w:rPr>
      </w:pPr>
    </w:p>
    <w:p>
      <w:pPr>
        <w:pStyle w:val="P9"/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sz w:val="24"/>
          <w:szCs w:val="24"/>
          <w:highlight w:val="white"/>
        </w:rPr>
      </w:pPr>
      <w:r>
        <w:rPr>
          <w:color w:val="000000"/>
          <w:sz w:val="24"/>
          <w:szCs w:val="24"/>
        </w:rPr>
        <w:t xml:space="preserve">Предметом цього Договору є </w:t>
      </w:r>
      <w:r>
        <w:rPr>
          <w:sz w:val="24"/>
          <w:szCs w:val="24"/>
        </w:rPr>
        <w:t>надання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>
        <w:rPr>
          <w:color w:val="000000"/>
          <w:sz w:val="24"/>
          <w:szCs w:val="24"/>
        </w:rPr>
        <w:t>едіатор</w:t>
      </w:r>
      <w:r>
        <w:rPr>
          <w:sz w:val="24"/>
          <w:szCs w:val="24"/>
        </w:rPr>
        <w:t>ом</w:t>
      </w:r>
      <w:r>
        <w:rPr>
          <w:color w:val="000000"/>
          <w:sz w:val="24"/>
          <w:szCs w:val="24"/>
        </w:rPr>
        <w:t xml:space="preserve"> послуг з медіації (згідно з ДК 021:2015 – 79110000-8 «Послуги з консультування та юридичного представництва») </w:t>
      </w:r>
      <w:r>
        <w:rPr>
          <w:sz w:val="24"/>
          <w:szCs w:val="24"/>
          <w:highlight w:val="white"/>
        </w:rPr>
        <w:t>очно та/або онлайн за категоріями конфліктів (спорів), за якими відповідно до законодавства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white"/>
        </w:rPr>
        <w:t>проведення медіації забезпечують центри з надання безоплатної правничої допомоги, та оплата таких послуг Центром.</w:t>
      </w:r>
    </w:p>
    <w:p>
      <w:pPr>
        <w:pStyle w:val="P9"/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 цим Договором медіатор надає послуги з медіації на стадіях підготовки до медіації та проведення медіації на підставі виданого доручення Центру для надання послуг з медіації від «____» ________ 20___ року № _______ -_________  (далі – Доручення).</w:t>
      </w:r>
    </w:p>
    <w:p>
      <w:pPr>
        <w:pStyle w:val="P9"/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Медіатор зобов’язується за Дорученням з дотриманням вимог Закону України «Про медіацію», кодексу професійної етики медіатора, договору про проведення медіації укладеного між медіатором і сторонами конфлікту (спору), Порядку і умов укладення договорів з медіаторами, які залучаються центрами з надання безоплатної правничої допомоги, затвердженого Координаційним центром, договору про співпрацю, умов цього Договору, порядку та правил проведення медіації, затверджених Координаційним центром, надавати послуги з медіації для врегулювання конфлікту (спору), а Центр здійснювати оплату послуг медіатора за здійснення заходів з підготовки до медіації та її проведення, в установленому порядку.</w:t>
      </w:r>
    </w:p>
    <w:p>
      <w:pPr>
        <w:pStyle w:val="P9"/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Медіатор погоджується з тим, що цей Договір не передбачає відшкодування витрат медіатора, пов’язаних із здійсненням підготовчих заходів до медіації та/або її проведенням на виконання Доручення, та інформований про те, що відшкодування витрат здійснюється відповідно до Порядку оплати послуг з медіації</w:t>
      </w:r>
      <w:r>
        <w:rPr>
          <w:smallCaps w:val="0"/>
          <w:color w:val="000000"/>
          <w:sz w:val="24"/>
          <w:szCs w:val="22"/>
          <w:cs w:val="0"/>
          <w:spacing w:val="0"/>
          <w:w w:val="100"/>
          <w:position w:val="0"/>
          <w:snapToGrid w:val="1"/>
        </w:rPr>
        <w:t xml:space="preserve"> медіаторам, які залучаються центрами з надання безоплатної правничої допомоги, затвердженого постановою Кабінету Міністрів України від 19 січня 2024 року № 63 (далі – Порядок оплати послуг з медіації)</w:t>
      </w:r>
      <w:r>
        <w:rPr>
          <w:color w:val="000000"/>
          <w:sz w:val="24"/>
          <w:szCs w:val="24"/>
        </w:rPr>
        <w:t xml:space="preserve"> та після надання послуг з медіації за Дорученням відповідно до договору про відшкодування витрат, пов’язаних з наданням послуг з медіації, акту </w:t>
      </w:r>
      <w:r>
        <w:rPr>
          <w:smallCaps w:val="0"/>
          <w:color w:val="000000"/>
          <w:sz w:val="24"/>
          <w:szCs w:val="22"/>
          <w:cs w:val="0"/>
          <w:spacing w:val="0"/>
          <w:w w:val="100"/>
          <w:position w:val="0"/>
          <w:snapToGrid w:val="1"/>
        </w:rPr>
        <w:t>про відшкодування витрат медіатора</w:t>
      </w:r>
      <w:r>
        <w:rPr>
          <w:color w:val="000000"/>
          <w:sz w:val="24"/>
          <w:szCs w:val="24"/>
        </w:rPr>
        <w:t xml:space="preserve"> та розрахунку розміру винагороди медіатора за надання послуг з медіації, форми яких наведені у Порядку і умовах укладення договорів з медіаторами, які залучаються центрами з надання безоплатної правничої допомоги, затвердженому наказом Координаційного центру.</w:t>
      </w:r>
    </w:p>
    <w:p>
      <w:pPr>
        <w:pStyle w:val="P9"/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 цим Договором Сторони зобов’язуються не розголошувати та не поширювати дані досудового розслідування, за поширення яких передбачена кримінальна відповідальність відповідно до статті 387 Кримінального кодексу України, а також відомості про персональні дані та будь-яку іншу конфіденційну інформацію (крім випадків, встановлених законом), які стали відомі Сторонам у зв’язку з виконанням цього Договору.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jc w:val="both"/>
        <w:rPr>
          <w:color w:val="333333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jc w:val="center"/>
        <w:rPr>
          <w:b w:val="1"/>
          <w:sz w:val="24"/>
          <w:szCs w:val="24"/>
        </w:rPr>
      </w:pPr>
      <w:r>
        <w:rPr>
          <w:b w:val="1"/>
          <w:color w:val="000000"/>
          <w:sz w:val="24"/>
          <w:szCs w:val="24"/>
        </w:rPr>
        <w:t xml:space="preserve">Оплата послуг </w:t>
      </w:r>
      <w:r>
        <w:rPr>
          <w:b w:val="1"/>
          <w:sz w:val="24"/>
          <w:szCs w:val="24"/>
        </w:rPr>
        <w:t>м</w:t>
      </w:r>
      <w:r>
        <w:rPr>
          <w:b w:val="1"/>
          <w:color w:val="000000"/>
          <w:sz w:val="24"/>
          <w:szCs w:val="24"/>
        </w:rPr>
        <w:t>едіатора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jc w:val="center"/>
        <w:rPr>
          <w:b w:val="1"/>
          <w:sz w:val="24"/>
          <w:szCs w:val="24"/>
        </w:rPr>
      </w:pPr>
    </w:p>
    <w:p>
      <w:pPr>
        <w:pStyle w:val="P9"/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Розмір винагороди медіатора обчислюється відповідно до Порядку оплати послуг з медіації</w:t>
      </w:r>
      <w:r>
        <w:rPr>
          <w:color w:val="000000"/>
          <w:sz w:val="24"/>
          <w:szCs w:val="24"/>
        </w:rPr>
        <w:t>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Оплата винагороди медіатора за надані ним послуги з медіації здійснюються на підставі Доручення, акта надання послуг з медіації, розрахунку винагороди медіатора за надання послуг з медіації, до якого додаються  </w:t>
      </w:r>
      <w:r>
        <w:rPr>
          <w:sz w:val="24"/>
          <w:szCs w:val="24"/>
          <w:highlight w:val="white"/>
        </w:rPr>
        <w:t>документи, що підтверджують здійснення заходів з підготовки до медіації</w:t>
      </w:r>
      <w:r>
        <w:rPr>
          <w:sz w:val="24"/>
          <w:szCs w:val="24"/>
        </w:rPr>
        <w:t xml:space="preserve"> та </w:t>
      </w:r>
      <w:r>
        <w:rPr>
          <w:sz w:val="24"/>
          <w:szCs w:val="24"/>
          <w:highlight w:val="white"/>
        </w:rPr>
        <w:t xml:space="preserve">кількість годин, витрачених медіатором на проведення медіації, а саме </w:t>
      </w:r>
      <w:r>
        <w:rPr>
          <w:sz w:val="24"/>
          <w:szCs w:val="24"/>
        </w:rPr>
        <w:t>інформаційно-аналітичний звіт медіатора про можливість проведення медіації, складений за формою, затвердженою Координаційним центром, а також протокол зустрічі (протоколи зустрічей) із сторонами конфлікту (спору)/учасником (учасниками) медіації, засвідчені підписами медіатора та сторонами конфлікту (спору)/усіма сторонами медіації, які разом брали в ній (них) участь із зазначенням місця, дати, часу початку та закінчення зустрічі.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ind w:firstLine="720"/>
        <w:jc w:val="both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  <w:r>
        <w:rPr>
          <w:b w:val="1"/>
          <w:sz w:val="24"/>
          <w:szCs w:val="24"/>
        </w:rPr>
        <w:t>Сума Договору</w:t>
      </w:r>
    </w:p>
    <w:p>
      <w:pPr>
        <w:ind w:firstLine="567"/>
        <w:jc w:val="both"/>
        <w:rPr>
          <w:sz w:val="24"/>
          <w:szCs w:val="24"/>
        </w:rPr>
      </w:pPr>
    </w:p>
    <w:p>
      <w:pPr>
        <w:pStyle w:val="P9"/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Загальна сума Договору </w:t>
      </w:r>
      <w:r>
        <w:rPr>
          <w:sz w:val="24"/>
          <w:szCs w:val="24"/>
        </w:rPr>
        <w:t xml:space="preserve">становить __________ (___________________) грн. ____ коп.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tabs>
          <w:tab w:val="left" w:pos="1134" w:leader="none"/>
        </w:tabs>
        <w:spacing w:lineRule="auto" w:line="276" w:beforeAutospacing="0" w:afterAutospacing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  <w:tab/>
        <w:tab/>
        <w:tab/>
        <w:tab/>
        <w:tab/>
        <w:tab/>
        <w:t xml:space="preserve">    </w:t>
      </w:r>
      <w:r>
        <w:rPr>
          <w:sz w:val="16"/>
          <w:szCs w:val="16"/>
        </w:rPr>
        <w:t xml:space="preserve">(сума Договору цифрами)    (сума Договору літерами)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hd w:val="clear" w:fill="FFFFFF"/>
        <w:tabs>
          <w:tab w:val="left" w:pos="1134" w:leader="none"/>
        </w:tabs>
        <w:spacing w:lineRule="auto" w:line="276" w:beforeAutospacing="0" w:afterAutospacing="0"/>
        <w:jc w:val="both"/>
        <w:rPr>
          <w:color w:val="000000"/>
          <w:sz w:val="24"/>
          <w:szCs w:val="24"/>
        </w:rPr>
      </w:pPr>
    </w:p>
    <w:p>
      <w:pPr>
        <w:keepNext w:val="1"/>
        <w:keepLines w:val="1"/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jc w:val="center"/>
        <w:rPr>
          <w:b w:val="1"/>
          <w:color w:val="000000"/>
          <w:sz w:val="24"/>
          <w:szCs w:val="24"/>
        </w:rPr>
      </w:pPr>
      <w:r>
        <w:rPr>
          <w:b w:val="1"/>
          <w:color w:val="000000"/>
          <w:sz w:val="24"/>
          <w:szCs w:val="24"/>
        </w:rPr>
        <w:t xml:space="preserve"> Строк дії Договору</w:t>
      </w:r>
    </w:p>
    <w:p>
      <w:pPr>
        <w:keepNext w:val="1"/>
        <w:keepLines w:val="1"/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jc w:val="center"/>
        <w:rPr>
          <w:b w:val="1"/>
          <w:color w:val="000000"/>
        </w:rPr>
      </w:pPr>
    </w:p>
    <w:p>
      <w:pPr>
        <w:pStyle w:val="P9"/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>Договір діє з моменту підписання та до «____» ____________20___ року, а в частині оплати послуг з медіації – до завершення виконання Доручення, виданого на підставі Договору, подання медіатором підтвердних документів, акту надання послуг з медіації з відповідними додатками (розрахунками), форми яких затверджується Координаційним центром, та проведення повного розрахунку (оплати).</w:t>
      </w:r>
    </w:p>
    <w:p>
      <w:pPr>
        <w:pStyle w:val="P9"/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Відповідно до частини третьої статті 631 Цивільного кодексу України умови Договору розповсюджуються на відносини, що виникли на підставі Доручення, виданого Центром </w:t>
      </w:r>
      <w:r>
        <w:rPr>
          <w:sz w:val="24"/>
          <w:szCs w:val="24"/>
        </w:rPr>
        <w:t>м</w:t>
      </w:r>
      <w:r>
        <w:rPr>
          <w:color w:val="000000"/>
          <w:sz w:val="24"/>
          <w:szCs w:val="24"/>
        </w:rPr>
        <w:t>едіатор</w:t>
      </w:r>
      <w:r>
        <w:rPr>
          <w:sz w:val="24"/>
          <w:szCs w:val="24"/>
        </w:rPr>
        <w:t>у</w:t>
      </w:r>
      <w:r>
        <w:rPr>
          <w:color w:val="000000"/>
          <w:sz w:val="24"/>
          <w:szCs w:val="24"/>
        </w:rPr>
        <w:t xml:space="preserve"> до моменту уклад</w:t>
      </w:r>
      <w:r>
        <w:rPr>
          <w:sz w:val="24"/>
          <w:szCs w:val="24"/>
        </w:rPr>
        <w:t>е</w:t>
      </w:r>
      <w:r>
        <w:rPr>
          <w:color w:val="000000"/>
          <w:sz w:val="24"/>
          <w:szCs w:val="24"/>
        </w:rPr>
        <w:t>ння цього Договору</w:t>
      </w:r>
      <w:r>
        <w:rPr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ind w:firstLine="567"/>
        <w:jc w:val="both"/>
        <w:rPr>
          <w:sz w:val="24"/>
          <w:szCs w:val="24"/>
        </w:rPr>
      </w:pPr>
    </w:p>
    <w:p>
      <w:pPr>
        <w:keepNext w:val="1"/>
        <w:keepLines w:val="1"/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jc w:val="center"/>
        <w:rPr>
          <w:b w:val="1"/>
          <w:color w:val="000000"/>
          <w:sz w:val="24"/>
          <w:szCs w:val="24"/>
        </w:rPr>
      </w:pPr>
      <w:r>
        <w:rPr>
          <w:b w:val="1"/>
          <w:color w:val="000000"/>
          <w:sz w:val="24"/>
          <w:szCs w:val="24"/>
        </w:rPr>
        <w:t>Обов’язки сторін</w:t>
      </w:r>
    </w:p>
    <w:p>
      <w:pPr>
        <w:pStyle w:val="P9"/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Центр зобов’язується:</w:t>
      </w:r>
    </w:p>
    <w:p>
      <w:pPr>
        <w:pStyle w:val="P9"/>
        <w:numPr>
          <w:ilvl w:val="0"/>
          <w:numId w:val="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своєчасно опрацьовувати інформацію, яку подає медіатор до Центру на виконання Доручення, цього Договору та встановленого законодавством порядку забезпечення надання послуг з медіації центрами з надання безоплатної правничої допомоги, зокрема Порядку реалізації пілотного проєкту </w:t>
      </w:r>
      <w:r>
        <w:rPr>
          <w:sz w:val="26"/>
          <w:szCs w:val="26"/>
        </w:rPr>
        <w:t>«</w:t>
      </w:r>
      <w:r>
        <w:rPr>
          <w:sz w:val="24"/>
          <w:szCs w:val="24"/>
        </w:rPr>
        <w:t>Програма відновного правосуддя за участю неповнолітніх, які є підозрюваними, обвинуваченими у вчиненні кримінального правопорушення</w:t>
      </w:r>
      <w:r>
        <w:rPr>
          <w:sz w:val="26"/>
          <w:szCs w:val="26"/>
        </w:rPr>
        <w:t>»</w:t>
      </w:r>
      <w:r>
        <w:rPr>
          <w:sz w:val="24"/>
          <w:szCs w:val="24"/>
        </w:rPr>
        <w:t>;</w:t>
      </w:r>
    </w:p>
    <w:p>
      <w:pPr>
        <w:pStyle w:val="P9"/>
        <w:numPr>
          <w:ilvl w:val="0"/>
          <w:numId w:val="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>негайно письмово звертатися до медіатора про надання інформації про стан виконання Доручення, якщо медіатором не надано до Центру у встановленому порядку інформації про стан виконання Доручення протягом перших 14 календарних днів з дня отримання Доручення медіатором;</w:t>
      </w:r>
    </w:p>
    <w:p>
      <w:pPr>
        <w:pStyle w:val="P9"/>
        <w:numPr>
          <w:ilvl w:val="0"/>
          <w:numId w:val="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</w:t>
      </w:r>
      <w:r>
        <w:rPr>
          <w:sz w:val="24"/>
          <w:szCs w:val="24"/>
        </w:rPr>
        <w:t>иймати поданий Медіатором акт надання послуг з медіації, розрахунок винагороди медіатора за надання послуг з медіації, до якого додаються документи, що підтверджують здійснення заходів з підготовки до медіації та кількість годин, витрачених медіатором на проведення медіації, а саме інформаційно-аналітичний звіт медіатора про можливість проведення медіації, складений за формою, затвердженою Координаційним центром, а також протокол зустрічі (протоколи зустрічей) із сторонами конфлікту (спору)/учасником (учасниками) медіації, засвідчені підписами медіатора та сторонами конфлікту (спору)/усіма сторонами медіації, які разом брали в ній (них) участь із зазначенням місця, дати, часу початку та закінчення зустрічі;</w:t>
      </w:r>
    </w:p>
    <w:p>
      <w:pPr>
        <w:pStyle w:val="P9"/>
        <w:numPr>
          <w:ilvl w:val="0"/>
          <w:numId w:val="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здійснювати перевірку комплектності документ</w:t>
      </w:r>
      <w:r>
        <w:rPr>
          <w:sz w:val="24"/>
          <w:szCs w:val="24"/>
        </w:rPr>
        <w:t>ів, зазначених у підпункту 1 пункту 12 цього Договору</w:t>
      </w:r>
      <w:r>
        <w:rPr>
          <w:color w:val="000000"/>
          <w:sz w:val="24"/>
          <w:szCs w:val="24"/>
        </w:rPr>
        <w:t xml:space="preserve">, правильності розрахунку розміру винагороди </w:t>
      </w:r>
      <w:r>
        <w:rPr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едіатора, який надав послуги з медіації, у разі необхідності спільно з </w:t>
      </w:r>
      <w:r>
        <w:rPr>
          <w:sz w:val="24"/>
          <w:szCs w:val="24"/>
        </w:rPr>
        <w:t>м</w:t>
      </w:r>
      <w:r>
        <w:rPr>
          <w:color w:val="000000"/>
          <w:sz w:val="24"/>
          <w:szCs w:val="24"/>
        </w:rPr>
        <w:t>едіатором приводити їх у відповідність до встановлених вимог;</w:t>
      </w:r>
    </w:p>
    <w:p>
      <w:pPr>
        <w:pStyle w:val="P9"/>
        <w:numPr>
          <w:ilvl w:val="0"/>
          <w:numId w:val="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забезпечувати підписання і затвердження прийнятого акту надання послуг з медіації та документів, які до нього додаються, у випадку їх відповідності встановленим вимогам;</w:t>
      </w:r>
    </w:p>
    <w:p>
      <w:pPr>
        <w:pStyle w:val="P9"/>
        <w:numPr>
          <w:ilvl w:val="0"/>
          <w:numId w:val="3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здійснювати оплату послуг </w:t>
      </w:r>
      <w:r>
        <w:rPr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едіатора за надання послуг з медіації відповідно до пункту </w:t>
      </w:r>
      <w:r>
        <w:rPr>
          <w:sz w:val="24"/>
          <w:szCs w:val="24"/>
        </w:rPr>
        <w:t xml:space="preserve">6 </w:t>
      </w:r>
      <w:r>
        <w:rPr>
          <w:color w:val="000000"/>
          <w:sz w:val="24"/>
          <w:szCs w:val="24"/>
        </w:rPr>
        <w:t>цього Договору</w:t>
      </w:r>
      <w:r>
        <w:rPr>
          <w:sz w:val="24"/>
          <w:szCs w:val="24"/>
        </w:rPr>
        <w:t>.</w:t>
      </w:r>
    </w:p>
    <w:p>
      <w:pPr>
        <w:pStyle w:val="P9"/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Медіатор зобов’язується:</w:t>
      </w:r>
    </w:p>
    <w:p>
      <w:pPr>
        <w:pStyle w:val="P9"/>
        <w:numPr>
          <w:ilvl w:val="0"/>
          <w:numId w:val="5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sz w:val="24"/>
          <w:szCs w:val="24"/>
          <w:highlight w:val="white"/>
        </w:rPr>
      </w:pPr>
      <w:r>
        <w:rPr>
          <w:sz w:val="24"/>
          <w:szCs w:val="24"/>
        </w:rPr>
        <w:t xml:space="preserve">надавати послуги з медіації (очно та онлайн) якісно, в повному обсязі з моменту отримання Доручення, у визначені строки та відповідно до </w:t>
      </w:r>
      <w:r>
        <w:rPr>
          <w:sz w:val="24"/>
          <w:szCs w:val="24"/>
          <w:highlight w:val="white"/>
        </w:rPr>
        <w:t>норм законодавства та актів Координаційного центру, які прийняті в межах його компетенції у сфері забезпечення надання послуг з медіації системою надання безоплатної правничої допомоги;</w:t>
      </w:r>
    </w:p>
    <w:p>
      <w:pPr>
        <w:pStyle w:val="P9"/>
        <w:numPr>
          <w:ilvl w:val="0"/>
          <w:numId w:val="5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при наданні послуг з медіації за Дорученням дотримуватися </w:t>
      </w:r>
      <w:r>
        <w:rPr>
          <w:sz w:val="24"/>
          <w:szCs w:val="24"/>
        </w:rPr>
        <w:t xml:space="preserve">вимог Закону України Конституції України, Законів України «Про безоплатну правничу допомогу», «Про медіацію», Порядку реалізації пілотного проєкту «Програма відновного правосуддя за участю неповнолітніх, які є підозрюваними, обвинуваченими у вчиненні кримінального правопорушення» (далі - Програма), кодексу професійної етики медіатора, якого медіатор дотримується у своїй діяльності, договору про проведення медіації укладеного між медіатором і сторонами конфлікту (спору), Порядку і умов укладення договорів з медіаторами, які залучаються центрами з надання безоплатної правничої допомоги, договору про співпрацю, умов цього Договору, порядку та правил проведення медіації, порядку забезпечення </w:t>
      </w:r>
      <w:r>
        <w:rPr>
          <w:sz w:val="24"/>
          <w:szCs w:val="24"/>
          <w:highlight w:val="white"/>
        </w:rPr>
        <w:t xml:space="preserve">проведення моніторингу якості надання медіаторами послуг з медіації, порядку підвищення професійного рівня медіаторів, які залучаються центрами з надання безоплатної правничої допомоги, </w:t>
      </w:r>
      <w:r>
        <w:rPr>
          <w:sz w:val="24"/>
          <w:szCs w:val="24"/>
        </w:rPr>
        <w:t>затверджених Координаційним центром;</w:t>
      </w:r>
    </w:p>
    <w:p>
      <w:pPr>
        <w:pStyle w:val="P9"/>
        <w:numPr>
          <w:ilvl w:val="0"/>
          <w:numId w:val="5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>медіатор зобов’язується надавати послуги з медіації очно та за потреби онлайн, а в межах адміністративно-територіальної одиниці (місто, область тощо), на території якої медіатор здійснює діяльність, віддавати пріоритет надання послуг з медіації за Дорученням очно;</w:t>
      </w:r>
    </w:p>
    <w:p>
      <w:pPr>
        <w:pStyle w:val="P9"/>
        <w:numPr>
          <w:ilvl w:val="0"/>
          <w:numId w:val="5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>інформувати центр не пізніше: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3-х робочих днів з дня отримання Доручення – якщо протягом перших 2-х днів з дня отримання Доручення медіатор не зміг зв'язатися зі сторонами конфлікту;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14-ти календарних днів з дня отримання доручення, якщо протягом цього періоду медіатор не надіслав до Центру угоду за результатами медіації у межах Програми,  про те, чи продовжує медіатор здійснювати заходи з підготовки до медіації, чи процедура медіації зі сторонами конфлікту триває;</w:t>
      </w:r>
    </w:p>
    <w:p>
      <w:pPr>
        <w:pStyle w:val="P9"/>
        <w:numPr>
          <w:ilvl w:val="0"/>
          <w:numId w:val="5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>подавати протягом 45 календарних днів після завершення стадії підготовки до медіації (якщо медіація не проводилась) або припинення процедури медіації, до Центру акт надання послуг з медіації, розрахунок винагороди медіатора за надання послуг з медіації, до якого додаються документи, що підтверджують здійснення заходів з підготовки до медіації та кількість годин, витрачених медіатором на проведення медіації, а саме інформаційно-аналітичний звіт медіатора про можливість проведення медіації, складений за формою, затвердженою Координаційним центром, а також протокол зустрічі (протоколи зустрічей) із сторонами конфлікту (спору)/учасником (учасниками) медіації, засвідчені підписами медіатора та сторонами конфлікту (спору)/усіма сторонами медіації, які разом брали в ній (них) участь із зазначенням місця, дати, часу початку та закінчення зустрічі.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ind w:firstLine="567"/>
        <w:jc w:val="both"/>
        <w:rPr>
          <w:sz w:val="24"/>
          <w:szCs w:val="24"/>
          <w:highlight w:val="yellow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jc w:val="center"/>
        <w:rPr>
          <w:color w:val="000000"/>
          <w:sz w:val="24"/>
          <w:szCs w:val="24"/>
        </w:rPr>
      </w:pPr>
      <w:r>
        <w:rPr>
          <w:b w:val="1"/>
          <w:color w:val="000000"/>
          <w:sz w:val="24"/>
          <w:szCs w:val="24"/>
        </w:rPr>
        <w:t>Права сторін</w:t>
      </w:r>
    </w:p>
    <w:p>
      <w:pPr>
        <w:pStyle w:val="P9"/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Центр має право:</w:t>
      </w:r>
    </w:p>
    <w:p>
      <w:pPr>
        <w:pStyle w:val="P9"/>
        <w:numPr>
          <w:ilvl w:val="0"/>
          <w:numId w:val="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повернути поданий </w:t>
      </w:r>
      <w:r>
        <w:rPr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едіатором акт надання послуг з медіації з відповідними додатками (розрахунками), у випадку їх </w:t>
      </w:r>
      <w:r>
        <w:rPr>
          <w:sz w:val="24"/>
          <w:szCs w:val="24"/>
        </w:rPr>
        <w:t>невідповідності</w:t>
      </w:r>
      <w:r>
        <w:rPr>
          <w:color w:val="000000"/>
          <w:sz w:val="24"/>
          <w:szCs w:val="24"/>
        </w:rPr>
        <w:t xml:space="preserve"> встановленим вимогам</w:t>
      </w:r>
      <w:r>
        <w:rPr>
          <w:sz w:val="24"/>
          <w:szCs w:val="24"/>
        </w:rPr>
        <w:t>;</w:t>
      </w:r>
    </w:p>
    <w:p>
      <w:pPr>
        <w:pStyle w:val="P9"/>
        <w:numPr>
          <w:ilvl w:val="0"/>
          <w:numId w:val="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запитувати в медіатора інформацію про надання послуг з медіації за Дорученням Центру, зокрема з метою моніторингу стану та якості надання  таких послуг;</w:t>
      </w:r>
    </w:p>
    <w:p>
      <w:pPr>
        <w:pStyle w:val="P9"/>
        <w:numPr>
          <w:ilvl w:val="0"/>
          <w:numId w:val="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>звертатися у разі невиконання або неналежного виконання умов Договору/Доручення</w:t>
      </w:r>
      <w:r>
        <w:rPr>
          <w:sz w:val="24"/>
          <w:szCs w:val="24"/>
        </w:rPr>
        <w:t xml:space="preserve"> до Координаційного центру з метою виключення медіатора з Реєстру;</w:t>
      </w:r>
    </w:p>
    <w:p>
      <w:pPr>
        <w:pStyle w:val="P9"/>
        <w:numPr>
          <w:ilvl w:val="0"/>
          <w:numId w:val="7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інші права, встановлені законом</w:t>
      </w:r>
      <w:r>
        <w:rPr>
          <w:sz w:val="24"/>
          <w:szCs w:val="24"/>
        </w:rPr>
        <w:t>, договором про співпрацю та цим Договором.</w:t>
      </w:r>
    </w:p>
    <w:p>
      <w:pPr>
        <w:pStyle w:val="P9"/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Медіатор має право на:</w:t>
      </w:r>
    </w:p>
    <w:p>
      <w:pPr>
        <w:pStyle w:val="P9"/>
        <w:numPr>
          <w:ilvl w:val="0"/>
          <w:numId w:val="9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оплату винагороди за надання послуг з медіації;</w:t>
      </w:r>
    </w:p>
    <w:p>
      <w:pPr>
        <w:pStyle w:val="P9"/>
        <w:numPr>
          <w:ilvl w:val="0"/>
          <w:numId w:val="9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інші права, встановлені законом,</w:t>
      </w:r>
      <w:r>
        <w:rPr>
          <w:sz w:val="24"/>
          <w:szCs w:val="24"/>
        </w:rPr>
        <w:t xml:space="preserve"> договором про співпрацю та цим Договором.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ind w:firstLine="567"/>
        <w:jc w:val="both"/>
        <w:rPr>
          <w:sz w:val="24"/>
          <w:szCs w:val="24"/>
          <w:highlight w:val="yellow"/>
        </w:rPr>
      </w:pPr>
    </w:p>
    <w:p>
      <w:pPr>
        <w:keepNext w:val="1"/>
        <w:keepLines w:val="1"/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jc w:val="center"/>
        <w:rPr>
          <w:b w:val="1"/>
          <w:color w:val="000000"/>
          <w:sz w:val="24"/>
          <w:szCs w:val="24"/>
        </w:rPr>
      </w:pPr>
      <w:r>
        <w:rPr>
          <w:b w:val="1"/>
          <w:color w:val="000000"/>
          <w:sz w:val="24"/>
          <w:szCs w:val="24"/>
        </w:rPr>
        <w:t>Відповідальність сторін</w:t>
      </w:r>
    </w:p>
    <w:p>
      <w:pPr>
        <w:keepNext w:val="1"/>
        <w:keepLines w:val="1"/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jc w:val="center"/>
        <w:rPr>
          <w:b w:val="1"/>
          <w:color w:val="000000"/>
          <w:sz w:val="24"/>
          <w:szCs w:val="24"/>
        </w:rPr>
      </w:pPr>
    </w:p>
    <w:p>
      <w:pPr>
        <w:pStyle w:val="P9"/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Центр несе відповідальність за неправомірну відмову, ухилення від оплати послуг Медіатора за надання ним послуг з медіації.</w:t>
      </w:r>
    </w:p>
    <w:p>
      <w:pPr>
        <w:pStyle w:val="P9"/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Медіатор несе відповідальність за достовірність поданої до Центру інформації, у тому числі тієї, що міститься в акті надання послуг з медіації, розрахунках та додатках до них, інших документах передбаченої звітності, що є підставою для оплати послуг Медіатора.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ind w:firstLine="567"/>
        <w:jc w:val="both"/>
        <w:rPr>
          <w:sz w:val="24"/>
          <w:szCs w:val="24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ind w:firstLine="567"/>
        <w:jc w:val="center"/>
        <w:rPr>
          <w:b w:val="1"/>
          <w:sz w:val="24"/>
          <w:szCs w:val="24"/>
        </w:rPr>
      </w:pPr>
      <w:r>
        <w:rPr>
          <w:b w:val="1"/>
          <w:sz w:val="24"/>
          <w:szCs w:val="24"/>
        </w:rPr>
        <w:t>Припинення дії Договору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ind w:firstLine="567"/>
        <w:jc w:val="both"/>
        <w:rPr>
          <w:sz w:val="24"/>
          <w:szCs w:val="24"/>
        </w:rPr>
      </w:pPr>
    </w:p>
    <w:p>
      <w:pPr>
        <w:pStyle w:val="P9"/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Дія договору припиняється: </w:t>
      </w:r>
    </w:p>
    <w:p>
      <w:pPr>
        <w:pStyle w:val="P9"/>
        <w:numPr>
          <w:ilvl w:val="0"/>
          <w:numId w:val="11"/>
        </w:numPr>
        <w:tabs>
          <w:tab w:val="left" w:pos="993" w:leader="none"/>
        </w:tabs>
        <w:ind w:firstLine="567" w:left="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у разі закінчення строку дії Договору;</w:t>
      </w:r>
    </w:p>
    <w:p>
      <w:pPr>
        <w:pStyle w:val="P9"/>
        <w:numPr>
          <w:ilvl w:val="0"/>
          <w:numId w:val="11"/>
        </w:numPr>
        <w:tabs>
          <w:tab w:val="left" w:pos="993" w:leader="none"/>
        </w:tabs>
        <w:ind w:firstLine="567" w:left="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за згодою сторін;</w:t>
      </w:r>
    </w:p>
    <w:p>
      <w:pPr>
        <w:pStyle w:val="P9"/>
        <w:numPr>
          <w:ilvl w:val="0"/>
          <w:numId w:val="11"/>
        </w:numPr>
        <w:tabs>
          <w:tab w:val="left" w:pos="993" w:leader="none"/>
        </w:tabs>
        <w:ind w:firstLine="567" w:left="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за ініціативою однієї із сторін до закінчення строку його дії в разі порушення іншою стороною умов договору;</w:t>
      </w:r>
    </w:p>
    <w:p>
      <w:pPr>
        <w:pStyle w:val="P9"/>
        <w:numPr>
          <w:ilvl w:val="0"/>
          <w:numId w:val="11"/>
        </w:numPr>
        <w:tabs>
          <w:tab w:val="left" w:pos="993" w:leader="none"/>
        </w:tabs>
        <w:ind w:firstLine="567" w:left="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за ініціативою Центру у разі порушення медіатором умов цього Договору та договору про співпрацю, зокрема в частині невиконання Доручення, неналежного надання послуг з медіації, в інших випадках, передбачених нормативно правовими актами та організаційно-розпорядчими актами Координаційного центру з питань забезпечення проведення медіації;</w:t>
      </w:r>
    </w:p>
    <w:p>
      <w:pPr>
        <w:pStyle w:val="P9"/>
        <w:numPr>
          <w:ilvl w:val="0"/>
          <w:numId w:val="11"/>
        </w:numPr>
        <w:tabs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в інших випадках, передбачених законом.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ind w:firstLine="567"/>
        <w:jc w:val="both"/>
        <w:rPr>
          <w:color w:val="000000"/>
        </w:rPr>
      </w:pPr>
    </w:p>
    <w:p>
      <w:pPr>
        <w:keepNext w:val="1"/>
        <w:keepLines w:val="1"/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jc w:val="center"/>
        <w:rPr>
          <w:b w:val="1"/>
          <w:sz w:val="24"/>
          <w:szCs w:val="24"/>
        </w:rPr>
      </w:pPr>
      <w:r>
        <w:rPr>
          <w:b w:val="1"/>
          <w:color w:val="000000"/>
          <w:sz w:val="24"/>
          <w:szCs w:val="24"/>
        </w:rPr>
        <w:t>Інші положення</w:t>
      </w:r>
    </w:p>
    <w:p>
      <w:pPr>
        <w:keepNext w:val="1"/>
        <w:keepLines w:val="1"/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rPr>
          <w:b w:val="1"/>
          <w:sz w:val="24"/>
          <w:szCs w:val="24"/>
        </w:rPr>
      </w:pPr>
    </w:p>
    <w:p>
      <w:pPr>
        <w:pStyle w:val="P9"/>
        <w:numPr>
          <w:ilvl w:val="0"/>
          <w:numId w:val="1"/>
        </w:num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Договір укладається в письмовій формі українською мовою у двох примірниках, які зберігаються у кожної із Сторін і мають однакову юридичну силу по одному для кожної зі Сторін.</w:t>
      </w:r>
    </w:p>
    <w:p>
      <w:pPr>
        <w:keepNext w:val="1"/>
        <w:keepLines w:val="1"/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jc w:val="both"/>
        <w:rPr>
          <w:sz w:val="24"/>
          <w:szCs w:val="24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jc w:val="center"/>
        <w:rPr>
          <w:color w:val="000000"/>
          <w:sz w:val="24"/>
          <w:szCs w:val="24"/>
        </w:rPr>
      </w:pPr>
      <w:r>
        <w:rPr>
          <w:b w:val="1"/>
          <w:color w:val="000000"/>
          <w:sz w:val="24"/>
          <w:szCs w:val="24"/>
        </w:rPr>
        <w:t>Реквізити сторін</w:t>
      </w:r>
    </w:p>
    <w:tbl>
      <w:tblPr>
        <w:tblStyle w:val="T4"/>
        <w:tblW w:w="9996" w:type="dxa"/>
        <w:tblInd w:w="-108" w:type="dxa"/>
        <w:tblLayout w:type="fixed"/>
        <w:tblLook w:val="0000"/>
      </w:tblPr>
      <w:tblGrid/>
      <w:tr>
        <w:trPr>
          <w:trHeight w:hRule="atLeast" w:val="639"/>
        </w:trPr>
        <w:tc>
          <w:tcPr>
            <w:tcW w:w="4786" w:type="dxa"/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rPr>
                <w:b w:val="1"/>
                <w:color w:val="000000"/>
              </w:rPr>
            </w:pP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rPr>
                <w:b w:val="1"/>
                <w:color w:val="000000"/>
                <w:sz w:val="2"/>
                <w:szCs w:val="2"/>
              </w:rPr>
            </w:pP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(найменування центру з надання безоплатної правничої 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допомоги)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rPr>
                <w:color w:val="000000"/>
                <w:sz w:val="16"/>
                <w:szCs w:val="16"/>
              </w:rPr>
            </w:pP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(адреса місцезнаходження: Україна, індекс, населений 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пункт, вулиця, номер будинку, номер офісу (за наявності).</w:t>
            </w:r>
          </w:p>
        </w:tc>
        <w:tc>
          <w:tcPr>
            <w:tcW w:w="5210" w:type="dxa"/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rPr>
                <w:b w:val="1"/>
                <w:sz w:val="24"/>
                <w:szCs w:val="24"/>
              </w:rPr>
            </w:pPr>
            <w:r>
              <w:rPr>
                <w:b w:val="1"/>
                <w:sz w:val="24"/>
                <w:szCs w:val="24"/>
              </w:rPr>
              <w:t xml:space="preserve">Медіатор: 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single" w:sz="12" w:space="1" w:shadow="0" w:frame="0" w:color="000000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rPr>
                <w:b w:val="1"/>
                <w:sz w:val="24"/>
                <w:szCs w:val="24"/>
              </w:rPr>
            </w:pP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single" w:sz="12" w:space="1" w:shadow="0" w:frame="0" w:color="000000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rPr>
                <w:sz w:val="24"/>
                <w:szCs w:val="24"/>
              </w:rPr>
            </w:pPr>
          </w:p>
          <w:p>
            <w:pPr>
              <w:pBdr>
                <w:top w:val="none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(прізвище, власне ім1я, по батькові (за наявності)</w:t>
            </w:r>
          </w:p>
        </w:tc>
      </w:tr>
      <w:tr>
        <w:trPr>
          <w:trHeight w:hRule="atLeast" w:val="951"/>
        </w:trPr>
        <w:tc>
          <w:tcPr>
            <w:tcW w:w="4786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rPr>
                <w:color w:val="000000"/>
                <w:sz w:val="24"/>
                <w:szCs w:val="24"/>
              </w:rPr>
            </w:pP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код ЄДРПОУ _____________________                                                        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Р/р IBAN UA _____________________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Державній казначейській службі 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України, м. Київ                                                </w:t>
            </w:r>
          </w:p>
        </w:tc>
        <w:tc>
          <w:tcPr>
            <w:tcW w:w="5210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РНОКПП</w:t>
            </w:r>
            <w:r>
              <w:rPr>
                <w:sz w:val="24"/>
                <w:szCs w:val="24"/>
              </w:rPr>
              <w:t xml:space="preserve"> _____________,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single" w:sz="12" w:space="1" w:shadow="0" w:frame="0" w:color="000000"/>
                <w:right w:val="nil" w:sz="0" w:space="0" w:shadow="0" w:frame="0" w:color="auto"/>
                <w:between w:val="nil" w:sz="0" w:space="0" w:shadow="0" w:frame="0" w:color="auto"/>
              </w:pBdr>
              <w:jc w:val="both"/>
              <w:rPr>
                <w:sz w:val="24"/>
                <w:szCs w:val="24"/>
              </w:rPr>
            </w:pPr>
          </w:p>
          <w:p>
            <w:pPr>
              <w:pBdr>
                <w:top w:val="none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(адреса проживання: Україна, індекс, населений пункт, вулиця, номер будинку, номер, квартири)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Р/р IBAN UA __________________________ 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 ____________________________________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(найменування банківської установи)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after="60" w:beforeAutospacing="0" w:afterAutospacing="0"/>
              <w:jc w:val="both"/>
              <w:rPr>
                <w:sz w:val="24"/>
                <w:szCs w:val="24"/>
              </w:rPr>
            </w:pPr>
          </w:p>
        </w:tc>
      </w:tr>
      <w:tr>
        <w:trPr>
          <w:trHeight w:hRule="atLeast" w:val="553"/>
        </w:trPr>
        <w:tc>
          <w:tcPr>
            <w:tcW w:w="4786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tabs>
                <w:tab w:val="left" w:pos="4897" w:leader="none"/>
              </w:tabs>
              <w:rPr>
                <w:color w:val="000000"/>
                <w:sz w:val="24"/>
                <w:szCs w:val="24"/>
              </w:rPr>
            </w:pPr>
            <w:r>
              <w:rPr>
                <w:b w:val="1"/>
                <w:color w:val="000000"/>
                <w:sz w:val="24"/>
                <w:szCs w:val="24"/>
              </w:rPr>
              <w:t>Директор</w:t>
            </w:r>
            <w:r>
              <w:rPr>
                <w:b w:val="1"/>
                <w:sz w:val="24"/>
                <w:szCs w:val="24"/>
              </w:rPr>
              <w:t>/уповноважена особа _________</w:t>
            </w: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tabs>
                <w:tab w:val="left" w:pos="4897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(прізвище, ініціали)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tabs>
                <w:tab w:val="left" w:pos="4897" w:leader="none"/>
              </w:tabs>
              <w:rPr>
                <w:b w:val="1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tabs>
                <w:tab w:val="left" w:pos="4897" w:leader="none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(підпис / кваліфікований електронний підпис)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М.П.                   </w:t>
            </w:r>
          </w:p>
        </w:tc>
        <w:tc>
          <w:tcPr>
            <w:tcW w:w="5210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jc w:val="both"/>
              <w:rPr>
                <w:b w:val="1"/>
                <w:sz w:val="24"/>
                <w:szCs w:val="24"/>
              </w:rPr>
            </w:pPr>
            <w:r>
              <w:rPr>
                <w:b w:val="1"/>
                <w:sz w:val="24"/>
                <w:szCs w:val="24"/>
              </w:rPr>
              <w:t>Медіатор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jc w:val="both"/>
              <w:rPr>
                <w:b w:val="1"/>
                <w:sz w:val="24"/>
                <w:szCs w:val="24"/>
              </w:rPr>
            </w:pPr>
            <w:r>
              <w:rPr>
                <w:b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_____________________________ 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(прізвище, ініціали)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tabs>
                <w:tab w:val="left" w:pos="4897" w:leader="none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______________________________________               </w:t>
            </w:r>
            <w:r>
              <w:rPr>
                <w:color w:val="000000"/>
                <w:sz w:val="16"/>
                <w:szCs w:val="16"/>
              </w:rPr>
              <w:t>(підпис / кваліфікований електронний підпис)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М.П.  (за наявності)                 </w:t>
            </w:r>
          </w:p>
        </w:tc>
      </w:tr>
    </w:tbl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rPr>
          <w:sz w:val="16"/>
          <w:szCs w:val="16"/>
        </w:rPr>
      </w:pPr>
    </w:p>
    <w:p>
      <w:pPr>
        <w:ind w:firstLine="708"/>
        <w:jc w:val="both"/>
        <w:rPr>
          <w:sz w:val="28"/>
          <w:szCs w:val="28"/>
          <w:highlight w:val="white"/>
        </w:rPr>
      </w:pPr>
    </w:p>
    <w:p>
      <w:pPr>
        <w:ind w:firstLine="567"/>
        <w:jc w:val="both"/>
        <w:rPr>
          <w:sz w:val="24"/>
          <w:szCs w:val="24"/>
          <w:highlight w:val="yellow"/>
        </w:rPr>
      </w:pPr>
    </w:p>
    <w:p>
      <w:pPr>
        <w:jc w:val="both"/>
        <w:rPr>
          <w:highlight w:val="yellow"/>
        </w:rPr>
      </w:pPr>
    </w:p>
    <w:p>
      <w:pPr>
        <w:ind w:firstLine="720"/>
        <w:jc w:val="both"/>
        <w:rPr>
          <w:sz w:val="28"/>
          <w:szCs w:val="28"/>
          <w:highlight w:val="yellow"/>
        </w:rPr>
      </w:pPr>
    </w:p>
    <w:sectPr>
      <w:headerReference xmlns:r="http://schemas.openxmlformats.org/officeDocument/2006/relationships" w:type="default" r:id="RelHdr1"/>
      <w:headerReference xmlns:r="http://schemas.openxmlformats.org/officeDocument/2006/relationships" w:type="even" r:id="RelHdr2"/>
      <w:footnotePr/>
      <w:endnotePr/>
      <w:type w:val="nextPage"/>
      <w:pgSz w:w="11906" w:h="16838" w:code="0"/>
      <w:pgMar w:left="1701" w:right="567" w:top="567" w:bottom="542" w:header="567" w:footer="567" w:gutter="0"/>
      <w:pgNumType w:start="1" w:chapSep="period"/>
      <w:cols w:equalWidth="1" w:space="720"/>
      <w:titlePg w:val="1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/>
  </w:endnote>
  <w:endnote w:type="continuationSeparator" w:id="0">
    <w:p/>
  </w:endnote>
</w:endnotes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/>
  </w:footnote>
  <w:footnote w:type="continuationSeparator" w:id="0">
    <w:p/>
  </w:footnote>
  <w:footnote w:id="1">
    <w:p>
      <w:pPr>
        <w:pStyle w:val="P14"/>
      </w:pPr>
      <w:r>
        <w:rPr>
          <w:rStyle w:val="C6"/>
        </w:rPr>
        <w:footnoteRef/>
      </w:r>
      <w:r>
        <w:t xml:space="preserve"> </w:t>
      </w:r>
      <w:r>
        <w:rPr>
          <w:sz w:val="16"/>
          <w:szCs w:val="16"/>
        </w:rPr>
        <w:t>Крім фізичних осіб</w:t>
      </w:r>
      <w:r>
        <w:rPr>
          <w:sz w:val="16"/>
          <w:szCs w:val="16"/>
        </w:rPr>
        <w:t>,</w:t>
      </w:r>
      <w:r>
        <w:rPr>
          <w:sz w:val="16"/>
          <w:szCs w:val="16"/>
        </w:rPr>
        <w:t xml:space="preserve">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</w:t>
      </w:r>
      <w:r>
        <w:rPr>
          <w:sz w:val="16"/>
          <w:szCs w:val="16"/>
        </w:rPr>
        <w:t>.</w:t>
      </w:r>
    </w:p>
  </w:footnote>
</w:footnotes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153" w:leader="none"/>
        <w:tab w:val="right" w:pos="8306" w:leader="none"/>
      </w:tabs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>
      <w:rPr>
        <w:color w:val="000000"/>
        <w:sz w:val="22"/>
        <w:szCs w:val="22"/>
      </w:rPr>
      <w:t>#</w:t>
    </w:r>
    <w:r>
      <w:rPr>
        <w:color w:val="000000"/>
        <w:sz w:val="22"/>
        <w:szCs w:val="22"/>
      </w:rPr>
      <w:fldChar w:fldCharType="end"/>
    </w:r>
  </w:p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153" w:leader="none"/>
        <w:tab w:val="right" w:pos="8306" w:leader="none"/>
      </w:tabs>
      <w:rPr>
        <w:rFonts w:ascii="Antiqua" w:hAnsi="Antiqua"/>
        <w:color w:val="000000"/>
        <w:sz w:val="26"/>
        <w:szCs w:val="26"/>
      </w:rPr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jc w:val="center"/>
      <w:rPr>
        <w:rFonts w:ascii="Antiqua" w:hAnsi="Antiqua"/>
        <w:color w:val="000000"/>
        <w:sz w:val="26"/>
        <w:szCs w:val="26"/>
      </w:rPr>
    </w:pPr>
    <w:r>
      <w:rPr>
        <w:rFonts w:ascii="Antiqua" w:hAnsi="Antiqua"/>
        <w:color w:val="000000"/>
        <w:sz w:val="26"/>
        <w:szCs w:val="26"/>
      </w:rPr>
      <w:fldChar w:fldCharType="begin"/>
    </w:r>
    <w:r>
      <w:rPr>
        <w:rFonts w:ascii="Antiqua" w:hAnsi="Antiqua"/>
        <w:color w:val="000000"/>
        <w:sz w:val="26"/>
        <w:szCs w:val="26"/>
      </w:rPr>
      <w:instrText>PAGE</w:instrText>
    </w:r>
    <w:r>
      <w:rPr>
        <w:rFonts w:ascii="Antiqua" w:hAnsi="Antiqua"/>
        <w:color w:val="000000"/>
        <w:sz w:val="26"/>
        <w:szCs w:val="26"/>
      </w:rPr>
      <w:fldChar w:fldCharType="separate"/>
    </w:r>
    <w:r>
      <w:rPr>
        <w:rFonts w:ascii="Antiqua" w:hAnsi="Antiqua"/>
        <w:color w:val="000000"/>
        <w:sz w:val="26"/>
        <w:szCs w:val="26"/>
      </w:rPr>
      <w:t>#</w:t>
    </w:r>
    <w:r>
      <w:rPr>
        <w:rFonts w:ascii="Antiqua" w:hAnsi="Antiqua"/>
        <w:color w:val="000000"/>
        <w:sz w:val="26"/>
        <w:szCs w:val="26"/>
      </w:rPr>
      <w:fldChar w:fldCharType="end"/>
    </w:r>
  </w:p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rPr>
        <w:rFonts w:ascii="Antiqua" w:hAnsi="Antiqua"/>
        <w:color w:val="000000"/>
        <w:sz w:val="26"/>
        <w:szCs w:val="26"/>
      </w:rPr>
    </w:pPr>
  </w:p>
</w:hdr>
</file>

<file path=word/numbering.xml><?xml version="1.0" encoding="utf-8"?>
<w:numbering xmlns:w="http://schemas.openxmlformats.org/wordprocessingml/2006/main">
  <w:abstractNum w:abstractNumId="0">
    <w:nsid w:val="0F126141"/>
    <w:multiLevelType w:val="hybridMultilevel"/>
    <w:lvl w:ilvl="0" w:tplc="2EC6D3E4">
      <w:start w:val="1"/>
      <w:numFmt w:val="decimal"/>
      <w:suff w:val="tab"/>
      <w:lvlText w:val="%1)"/>
      <w:lvlJc w:val="left"/>
      <w:pPr>
        <w:ind w:hanging="360" w:left="927"/>
      </w:pPr>
      <w:rPr/>
    </w:lvl>
    <w:lvl w:ilvl="1" w:tplc="04220019">
      <w:start w:val="1"/>
      <w:numFmt w:val="lowerLetter"/>
      <w:suff w:val="tab"/>
      <w:lvlText w:val="%2."/>
      <w:lvlJc w:val="left"/>
      <w:pPr>
        <w:ind w:hanging="360" w:left="1647"/>
      </w:pPr>
      <w:rPr/>
    </w:lvl>
    <w:lvl w:ilvl="2" w:tplc="0422001B">
      <w:start w:val="1"/>
      <w:numFmt w:val="lowerRoman"/>
      <w:suff w:val="tab"/>
      <w:lvlText w:val="%3."/>
      <w:lvlJc w:val="right"/>
      <w:pPr>
        <w:ind w:hanging="180" w:left="2367"/>
      </w:pPr>
      <w:rPr/>
    </w:lvl>
    <w:lvl w:ilvl="3" w:tplc="0422000F">
      <w:start w:val="1"/>
      <w:numFmt w:val="decimal"/>
      <w:suff w:val="tab"/>
      <w:lvlText w:val="%4."/>
      <w:lvlJc w:val="left"/>
      <w:pPr>
        <w:ind w:hanging="360" w:left="3087"/>
      </w:pPr>
      <w:rPr/>
    </w:lvl>
    <w:lvl w:ilvl="4" w:tplc="04220019">
      <w:start w:val="1"/>
      <w:numFmt w:val="lowerLetter"/>
      <w:suff w:val="tab"/>
      <w:lvlText w:val="%5."/>
      <w:lvlJc w:val="left"/>
      <w:pPr>
        <w:ind w:hanging="360" w:left="3807"/>
      </w:pPr>
      <w:rPr/>
    </w:lvl>
    <w:lvl w:ilvl="5" w:tplc="0422001B">
      <w:start w:val="1"/>
      <w:numFmt w:val="lowerRoman"/>
      <w:suff w:val="tab"/>
      <w:lvlText w:val="%6."/>
      <w:lvlJc w:val="right"/>
      <w:pPr>
        <w:ind w:hanging="180" w:left="4527"/>
      </w:pPr>
      <w:rPr/>
    </w:lvl>
    <w:lvl w:ilvl="6" w:tplc="0422000F">
      <w:start w:val="1"/>
      <w:numFmt w:val="decimal"/>
      <w:suff w:val="tab"/>
      <w:lvlText w:val="%7."/>
      <w:lvlJc w:val="left"/>
      <w:pPr>
        <w:ind w:hanging="360" w:left="5247"/>
      </w:pPr>
      <w:rPr/>
    </w:lvl>
    <w:lvl w:ilvl="7" w:tplc="04220019">
      <w:start w:val="1"/>
      <w:numFmt w:val="lowerLetter"/>
      <w:suff w:val="tab"/>
      <w:lvlText w:val="%8."/>
      <w:lvlJc w:val="left"/>
      <w:pPr>
        <w:ind w:hanging="360" w:left="5967"/>
      </w:pPr>
      <w:rPr/>
    </w:lvl>
    <w:lvl w:ilvl="8" w:tplc="0422001B">
      <w:start w:val="1"/>
      <w:numFmt w:val="lowerRoman"/>
      <w:suff w:val="tab"/>
      <w:lvlText w:val="%9."/>
      <w:lvlJc w:val="right"/>
      <w:pPr>
        <w:ind w:hanging="180" w:left="6687"/>
      </w:pPr>
      <w:rPr/>
    </w:lvl>
  </w:abstractNum>
  <w:abstractNum w:abstractNumId="1">
    <w:nsid w:val="1529759A"/>
    <w:multiLevelType w:val="hybridMultilevel"/>
    <w:lvl w:ilvl="0" w:tplc="04220011">
      <w:start w:val="1"/>
      <w:numFmt w:val="decimal"/>
      <w:suff w:val="tab"/>
      <w:lvlText w:val="%1)"/>
      <w:lvlJc w:val="left"/>
      <w:pPr>
        <w:ind w:hanging="360" w:left="1287"/>
      </w:pPr>
      <w:rPr/>
    </w:lvl>
    <w:lvl w:ilvl="1" w:tplc="04220019">
      <w:start w:val="1"/>
      <w:numFmt w:val="lowerLetter"/>
      <w:suff w:val="tab"/>
      <w:lvlText w:val="%2."/>
      <w:lvlJc w:val="left"/>
      <w:pPr>
        <w:ind w:hanging="360" w:left="2007"/>
      </w:pPr>
      <w:rPr/>
    </w:lvl>
    <w:lvl w:ilvl="2" w:tplc="0422001B">
      <w:start w:val="1"/>
      <w:numFmt w:val="lowerRoman"/>
      <w:suff w:val="tab"/>
      <w:lvlText w:val="%3."/>
      <w:lvlJc w:val="right"/>
      <w:pPr>
        <w:ind w:hanging="180" w:left="2727"/>
      </w:pPr>
      <w:rPr/>
    </w:lvl>
    <w:lvl w:ilvl="3" w:tplc="0422000F">
      <w:start w:val="1"/>
      <w:numFmt w:val="decimal"/>
      <w:suff w:val="tab"/>
      <w:lvlText w:val="%4."/>
      <w:lvlJc w:val="left"/>
      <w:pPr>
        <w:ind w:hanging="360" w:left="3447"/>
      </w:pPr>
      <w:rPr/>
    </w:lvl>
    <w:lvl w:ilvl="4" w:tplc="04220019">
      <w:start w:val="1"/>
      <w:numFmt w:val="lowerLetter"/>
      <w:suff w:val="tab"/>
      <w:lvlText w:val="%5."/>
      <w:lvlJc w:val="left"/>
      <w:pPr>
        <w:ind w:hanging="360" w:left="4167"/>
      </w:pPr>
      <w:rPr/>
    </w:lvl>
    <w:lvl w:ilvl="5" w:tplc="0422001B">
      <w:start w:val="1"/>
      <w:numFmt w:val="lowerRoman"/>
      <w:suff w:val="tab"/>
      <w:lvlText w:val="%6."/>
      <w:lvlJc w:val="right"/>
      <w:pPr>
        <w:ind w:hanging="180" w:left="4887"/>
      </w:pPr>
      <w:rPr/>
    </w:lvl>
    <w:lvl w:ilvl="6" w:tplc="0422000F">
      <w:start w:val="1"/>
      <w:numFmt w:val="decimal"/>
      <w:suff w:val="tab"/>
      <w:lvlText w:val="%7."/>
      <w:lvlJc w:val="left"/>
      <w:pPr>
        <w:ind w:hanging="360" w:left="5607"/>
      </w:pPr>
      <w:rPr/>
    </w:lvl>
    <w:lvl w:ilvl="7" w:tplc="04220019">
      <w:start w:val="1"/>
      <w:numFmt w:val="lowerLetter"/>
      <w:suff w:val="tab"/>
      <w:lvlText w:val="%8."/>
      <w:lvlJc w:val="left"/>
      <w:pPr>
        <w:ind w:hanging="360" w:left="6327"/>
      </w:pPr>
      <w:rPr/>
    </w:lvl>
    <w:lvl w:ilvl="8" w:tplc="0422001B">
      <w:start w:val="1"/>
      <w:numFmt w:val="lowerRoman"/>
      <w:suff w:val="tab"/>
      <w:lvlText w:val="%9."/>
      <w:lvlJc w:val="right"/>
      <w:pPr>
        <w:ind w:hanging="180" w:left="7047"/>
      </w:pPr>
      <w:rPr/>
    </w:lvl>
  </w:abstractNum>
  <w:abstractNum w:abstractNumId="2">
    <w:nsid w:val="16E748D5"/>
    <w:multiLevelType w:val="hybridMultilevel"/>
    <w:lvl w:ilvl="0" w:tplc="D68405F0">
      <w:start w:val="1"/>
      <w:numFmt w:val="decimal"/>
      <w:suff w:val="tab"/>
      <w:lvlText w:val="%1)"/>
      <w:lvlJc w:val="left"/>
      <w:pPr>
        <w:ind w:hanging="360" w:left="927"/>
      </w:pPr>
      <w:rPr/>
    </w:lvl>
    <w:lvl w:ilvl="1" w:tplc="04220019">
      <w:start w:val="1"/>
      <w:numFmt w:val="lowerLetter"/>
      <w:suff w:val="tab"/>
      <w:lvlText w:val="%2."/>
      <w:lvlJc w:val="left"/>
      <w:pPr>
        <w:ind w:hanging="360" w:left="1647"/>
      </w:pPr>
      <w:rPr/>
    </w:lvl>
    <w:lvl w:ilvl="2" w:tplc="0422001B">
      <w:start w:val="1"/>
      <w:numFmt w:val="lowerRoman"/>
      <w:suff w:val="tab"/>
      <w:lvlText w:val="%3."/>
      <w:lvlJc w:val="right"/>
      <w:pPr>
        <w:ind w:hanging="180" w:left="2367"/>
      </w:pPr>
      <w:rPr/>
    </w:lvl>
    <w:lvl w:ilvl="3" w:tplc="0422000F">
      <w:start w:val="1"/>
      <w:numFmt w:val="decimal"/>
      <w:suff w:val="tab"/>
      <w:lvlText w:val="%4."/>
      <w:lvlJc w:val="left"/>
      <w:pPr>
        <w:ind w:hanging="360" w:left="3087"/>
      </w:pPr>
      <w:rPr/>
    </w:lvl>
    <w:lvl w:ilvl="4" w:tplc="04220019">
      <w:start w:val="1"/>
      <w:numFmt w:val="lowerLetter"/>
      <w:suff w:val="tab"/>
      <w:lvlText w:val="%5."/>
      <w:lvlJc w:val="left"/>
      <w:pPr>
        <w:ind w:hanging="360" w:left="3807"/>
      </w:pPr>
      <w:rPr/>
    </w:lvl>
    <w:lvl w:ilvl="5" w:tplc="0422001B">
      <w:start w:val="1"/>
      <w:numFmt w:val="lowerRoman"/>
      <w:suff w:val="tab"/>
      <w:lvlText w:val="%6."/>
      <w:lvlJc w:val="right"/>
      <w:pPr>
        <w:ind w:hanging="180" w:left="4527"/>
      </w:pPr>
      <w:rPr/>
    </w:lvl>
    <w:lvl w:ilvl="6" w:tplc="0422000F">
      <w:start w:val="1"/>
      <w:numFmt w:val="decimal"/>
      <w:suff w:val="tab"/>
      <w:lvlText w:val="%7."/>
      <w:lvlJc w:val="left"/>
      <w:pPr>
        <w:ind w:hanging="360" w:left="5247"/>
      </w:pPr>
      <w:rPr/>
    </w:lvl>
    <w:lvl w:ilvl="7" w:tplc="04220019">
      <w:start w:val="1"/>
      <w:numFmt w:val="lowerLetter"/>
      <w:suff w:val="tab"/>
      <w:lvlText w:val="%8."/>
      <w:lvlJc w:val="left"/>
      <w:pPr>
        <w:ind w:hanging="360" w:left="5967"/>
      </w:pPr>
      <w:rPr/>
    </w:lvl>
    <w:lvl w:ilvl="8" w:tplc="0422001B">
      <w:start w:val="1"/>
      <w:numFmt w:val="lowerRoman"/>
      <w:suff w:val="tab"/>
      <w:lvlText w:val="%9."/>
      <w:lvlJc w:val="right"/>
      <w:pPr>
        <w:ind w:hanging="180" w:left="6687"/>
      </w:pPr>
      <w:rPr/>
    </w:lvl>
  </w:abstractNum>
  <w:abstractNum w:abstractNumId="3">
    <w:nsid w:val="1C6E6171"/>
    <w:multiLevelType w:val="hybridMultilevel"/>
    <w:lvl w:ilvl="0" w:tplc="830E59BA">
      <w:start w:val="1"/>
      <w:numFmt w:val="decimal"/>
      <w:suff w:val="tab"/>
      <w:lvlText w:val="%1."/>
      <w:lvlJc w:val="left"/>
      <w:pPr>
        <w:ind w:hanging="360" w:left="1287"/>
      </w:pPr>
      <w:rPr>
        <w:sz w:val="24"/>
        <w:szCs w:val="24"/>
      </w:rPr>
    </w:lvl>
    <w:lvl w:ilvl="1" w:tplc="04220019">
      <w:start w:val="1"/>
      <w:numFmt w:val="lowerLetter"/>
      <w:suff w:val="tab"/>
      <w:lvlText w:val="%2."/>
      <w:lvlJc w:val="left"/>
      <w:pPr>
        <w:ind w:hanging="360" w:left="2007"/>
      </w:pPr>
      <w:rPr/>
    </w:lvl>
    <w:lvl w:ilvl="2" w:tplc="0422001B">
      <w:start w:val="1"/>
      <w:numFmt w:val="lowerRoman"/>
      <w:suff w:val="tab"/>
      <w:lvlText w:val="%3."/>
      <w:lvlJc w:val="right"/>
      <w:pPr>
        <w:ind w:hanging="180" w:left="2727"/>
      </w:pPr>
      <w:rPr/>
    </w:lvl>
    <w:lvl w:ilvl="3" w:tplc="0422000F">
      <w:start w:val="1"/>
      <w:numFmt w:val="decimal"/>
      <w:suff w:val="tab"/>
      <w:lvlText w:val="%4."/>
      <w:lvlJc w:val="left"/>
      <w:pPr>
        <w:ind w:hanging="360" w:left="3447"/>
      </w:pPr>
      <w:rPr/>
    </w:lvl>
    <w:lvl w:ilvl="4" w:tplc="04220019">
      <w:start w:val="1"/>
      <w:numFmt w:val="lowerLetter"/>
      <w:suff w:val="tab"/>
      <w:lvlText w:val="%5."/>
      <w:lvlJc w:val="left"/>
      <w:pPr>
        <w:ind w:hanging="360" w:left="4167"/>
      </w:pPr>
      <w:rPr/>
    </w:lvl>
    <w:lvl w:ilvl="5" w:tplc="0422001B">
      <w:start w:val="1"/>
      <w:numFmt w:val="lowerRoman"/>
      <w:suff w:val="tab"/>
      <w:lvlText w:val="%6."/>
      <w:lvlJc w:val="right"/>
      <w:pPr>
        <w:ind w:hanging="180" w:left="4887"/>
      </w:pPr>
      <w:rPr/>
    </w:lvl>
    <w:lvl w:ilvl="6" w:tplc="0422000F">
      <w:start w:val="1"/>
      <w:numFmt w:val="decimal"/>
      <w:suff w:val="tab"/>
      <w:lvlText w:val="%7."/>
      <w:lvlJc w:val="left"/>
      <w:pPr>
        <w:ind w:hanging="360" w:left="5607"/>
      </w:pPr>
      <w:rPr/>
    </w:lvl>
    <w:lvl w:ilvl="7" w:tplc="04220019">
      <w:start w:val="1"/>
      <w:numFmt w:val="lowerLetter"/>
      <w:suff w:val="tab"/>
      <w:lvlText w:val="%8."/>
      <w:lvlJc w:val="left"/>
      <w:pPr>
        <w:ind w:hanging="360" w:left="6327"/>
      </w:pPr>
      <w:rPr/>
    </w:lvl>
    <w:lvl w:ilvl="8" w:tplc="0422001B">
      <w:start w:val="1"/>
      <w:numFmt w:val="lowerRoman"/>
      <w:suff w:val="tab"/>
      <w:lvlText w:val="%9."/>
      <w:lvlJc w:val="right"/>
      <w:pPr>
        <w:ind w:hanging="180" w:left="7047"/>
      </w:pPr>
      <w:rPr/>
    </w:lvl>
  </w:abstractNum>
  <w:abstractNum w:abstractNumId="4">
    <w:nsid w:val="2A0F3329"/>
    <w:multiLevelType w:val="hybridMultilevel"/>
    <w:lvl w:ilvl="0" w:tplc="0A4AFA84">
      <w:start w:val="1"/>
      <w:numFmt w:val="decimal"/>
      <w:suff w:val="tab"/>
      <w:lvlText w:val="%1)"/>
      <w:lvlJc w:val="left"/>
      <w:pPr>
        <w:ind w:hanging="360" w:left="927"/>
      </w:pPr>
      <w:rPr>
        <w:color w:val="000000"/>
      </w:rPr>
    </w:lvl>
    <w:lvl w:ilvl="1" w:tplc="04220019">
      <w:start w:val="1"/>
      <w:numFmt w:val="lowerLetter"/>
      <w:suff w:val="tab"/>
      <w:lvlText w:val="%2."/>
      <w:lvlJc w:val="left"/>
      <w:pPr>
        <w:ind w:hanging="360" w:left="1647"/>
      </w:pPr>
      <w:rPr/>
    </w:lvl>
    <w:lvl w:ilvl="2" w:tplc="0422001B">
      <w:start w:val="1"/>
      <w:numFmt w:val="lowerRoman"/>
      <w:suff w:val="tab"/>
      <w:lvlText w:val="%3."/>
      <w:lvlJc w:val="right"/>
      <w:pPr>
        <w:ind w:hanging="180" w:left="2367"/>
      </w:pPr>
      <w:rPr/>
    </w:lvl>
    <w:lvl w:ilvl="3" w:tplc="0422000F">
      <w:start w:val="1"/>
      <w:numFmt w:val="decimal"/>
      <w:suff w:val="tab"/>
      <w:lvlText w:val="%4."/>
      <w:lvlJc w:val="left"/>
      <w:pPr>
        <w:ind w:hanging="360" w:left="3087"/>
      </w:pPr>
      <w:rPr/>
    </w:lvl>
    <w:lvl w:ilvl="4" w:tplc="04220019">
      <w:start w:val="1"/>
      <w:numFmt w:val="lowerLetter"/>
      <w:suff w:val="tab"/>
      <w:lvlText w:val="%5."/>
      <w:lvlJc w:val="left"/>
      <w:pPr>
        <w:ind w:hanging="360" w:left="3807"/>
      </w:pPr>
      <w:rPr/>
    </w:lvl>
    <w:lvl w:ilvl="5" w:tplc="0422001B">
      <w:start w:val="1"/>
      <w:numFmt w:val="lowerRoman"/>
      <w:suff w:val="tab"/>
      <w:lvlText w:val="%6."/>
      <w:lvlJc w:val="right"/>
      <w:pPr>
        <w:ind w:hanging="180" w:left="4527"/>
      </w:pPr>
      <w:rPr/>
    </w:lvl>
    <w:lvl w:ilvl="6" w:tplc="0422000F">
      <w:start w:val="1"/>
      <w:numFmt w:val="decimal"/>
      <w:suff w:val="tab"/>
      <w:lvlText w:val="%7."/>
      <w:lvlJc w:val="left"/>
      <w:pPr>
        <w:ind w:hanging="360" w:left="5247"/>
      </w:pPr>
      <w:rPr/>
    </w:lvl>
    <w:lvl w:ilvl="7" w:tplc="04220019">
      <w:start w:val="1"/>
      <w:numFmt w:val="lowerLetter"/>
      <w:suff w:val="tab"/>
      <w:lvlText w:val="%8."/>
      <w:lvlJc w:val="left"/>
      <w:pPr>
        <w:ind w:hanging="360" w:left="5967"/>
      </w:pPr>
      <w:rPr/>
    </w:lvl>
    <w:lvl w:ilvl="8" w:tplc="0422001B">
      <w:start w:val="1"/>
      <w:numFmt w:val="lowerRoman"/>
      <w:suff w:val="tab"/>
      <w:lvlText w:val="%9."/>
      <w:lvlJc w:val="right"/>
      <w:pPr>
        <w:ind w:hanging="180" w:left="6687"/>
      </w:pPr>
      <w:rPr/>
    </w:lvl>
  </w:abstractNum>
  <w:abstractNum w:abstractNumId="5">
    <w:nsid w:val="37AC7E7C"/>
    <w:multiLevelType w:val="hybridMultilevel"/>
    <w:lvl w:ilvl="0" w:tplc="04220011">
      <w:start w:val="1"/>
      <w:numFmt w:val="decimal"/>
      <w:suff w:val="tab"/>
      <w:lvlText w:val="%1)"/>
      <w:lvlJc w:val="left"/>
      <w:pPr>
        <w:ind w:hanging="360" w:left="1287"/>
      </w:pPr>
      <w:rPr/>
    </w:lvl>
    <w:lvl w:ilvl="1" w:tplc="04220019">
      <w:start w:val="1"/>
      <w:numFmt w:val="lowerLetter"/>
      <w:suff w:val="tab"/>
      <w:lvlText w:val="%2."/>
      <w:lvlJc w:val="left"/>
      <w:pPr>
        <w:ind w:hanging="360" w:left="2007"/>
      </w:pPr>
      <w:rPr/>
    </w:lvl>
    <w:lvl w:ilvl="2" w:tplc="0422001B">
      <w:start w:val="1"/>
      <w:numFmt w:val="lowerRoman"/>
      <w:suff w:val="tab"/>
      <w:lvlText w:val="%3."/>
      <w:lvlJc w:val="right"/>
      <w:pPr>
        <w:ind w:hanging="180" w:left="2727"/>
      </w:pPr>
      <w:rPr/>
    </w:lvl>
    <w:lvl w:ilvl="3" w:tplc="0422000F">
      <w:start w:val="1"/>
      <w:numFmt w:val="decimal"/>
      <w:suff w:val="tab"/>
      <w:lvlText w:val="%4."/>
      <w:lvlJc w:val="left"/>
      <w:pPr>
        <w:ind w:hanging="360" w:left="3447"/>
      </w:pPr>
      <w:rPr/>
    </w:lvl>
    <w:lvl w:ilvl="4" w:tplc="04220019">
      <w:start w:val="1"/>
      <w:numFmt w:val="lowerLetter"/>
      <w:suff w:val="tab"/>
      <w:lvlText w:val="%5."/>
      <w:lvlJc w:val="left"/>
      <w:pPr>
        <w:ind w:hanging="360" w:left="4167"/>
      </w:pPr>
      <w:rPr/>
    </w:lvl>
    <w:lvl w:ilvl="5" w:tplc="0422001B">
      <w:start w:val="1"/>
      <w:numFmt w:val="lowerRoman"/>
      <w:suff w:val="tab"/>
      <w:lvlText w:val="%6."/>
      <w:lvlJc w:val="right"/>
      <w:pPr>
        <w:ind w:hanging="180" w:left="4887"/>
      </w:pPr>
      <w:rPr/>
    </w:lvl>
    <w:lvl w:ilvl="6" w:tplc="0422000F">
      <w:start w:val="1"/>
      <w:numFmt w:val="decimal"/>
      <w:suff w:val="tab"/>
      <w:lvlText w:val="%7."/>
      <w:lvlJc w:val="left"/>
      <w:pPr>
        <w:ind w:hanging="360" w:left="5607"/>
      </w:pPr>
      <w:rPr/>
    </w:lvl>
    <w:lvl w:ilvl="7" w:tplc="04220019">
      <w:start w:val="1"/>
      <w:numFmt w:val="lowerLetter"/>
      <w:suff w:val="tab"/>
      <w:lvlText w:val="%8."/>
      <w:lvlJc w:val="left"/>
      <w:pPr>
        <w:ind w:hanging="360" w:left="6327"/>
      </w:pPr>
      <w:rPr/>
    </w:lvl>
    <w:lvl w:ilvl="8" w:tplc="0422001B">
      <w:start w:val="1"/>
      <w:numFmt w:val="lowerRoman"/>
      <w:suff w:val="tab"/>
      <w:lvlText w:val="%9."/>
      <w:lvlJc w:val="right"/>
      <w:pPr>
        <w:ind w:hanging="180" w:left="7047"/>
      </w:pPr>
      <w:rPr/>
    </w:lvl>
  </w:abstractNum>
  <w:abstractNum w:abstractNumId="6">
    <w:nsid w:val="3DE81FD5"/>
    <w:multiLevelType w:val="hybridMultilevel"/>
    <w:lvl w:ilvl="0" w:tplc="00565C6C">
      <w:start w:val="1"/>
      <w:numFmt w:val="decimal"/>
      <w:suff w:val="tab"/>
      <w:lvlText w:val="%1)"/>
      <w:lvlJc w:val="left"/>
      <w:pPr>
        <w:ind w:hanging="360" w:left="927"/>
      </w:pPr>
      <w:rPr/>
    </w:lvl>
    <w:lvl w:ilvl="1" w:tplc="04220019">
      <w:start w:val="1"/>
      <w:numFmt w:val="lowerLetter"/>
      <w:suff w:val="tab"/>
      <w:lvlText w:val="%2."/>
      <w:lvlJc w:val="left"/>
      <w:pPr>
        <w:ind w:hanging="360" w:left="1647"/>
      </w:pPr>
      <w:rPr/>
    </w:lvl>
    <w:lvl w:ilvl="2" w:tplc="0422001B">
      <w:start w:val="1"/>
      <w:numFmt w:val="lowerRoman"/>
      <w:suff w:val="tab"/>
      <w:lvlText w:val="%3."/>
      <w:lvlJc w:val="right"/>
      <w:pPr>
        <w:ind w:hanging="180" w:left="2367"/>
      </w:pPr>
      <w:rPr/>
    </w:lvl>
    <w:lvl w:ilvl="3" w:tplc="0422000F">
      <w:start w:val="1"/>
      <w:numFmt w:val="decimal"/>
      <w:suff w:val="tab"/>
      <w:lvlText w:val="%4."/>
      <w:lvlJc w:val="left"/>
      <w:pPr>
        <w:ind w:hanging="360" w:left="3087"/>
      </w:pPr>
      <w:rPr/>
    </w:lvl>
    <w:lvl w:ilvl="4" w:tplc="04220019">
      <w:start w:val="1"/>
      <w:numFmt w:val="lowerLetter"/>
      <w:suff w:val="tab"/>
      <w:lvlText w:val="%5."/>
      <w:lvlJc w:val="left"/>
      <w:pPr>
        <w:ind w:hanging="360" w:left="3807"/>
      </w:pPr>
      <w:rPr/>
    </w:lvl>
    <w:lvl w:ilvl="5" w:tplc="0422001B">
      <w:start w:val="1"/>
      <w:numFmt w:val="lowerRoman"/>
      <w:suff w:val="tab"/>
      <w:lvlText w:val="%6."/>
      <w:lvlJc w:val="right"/>
      <w:pPr>
        <w:ind w:hanging="180" w:left="4527"/>
      </w:pPr>
      <w:rPr/>
    </w:lvl>
    <w:lvl w:ilvl="6" w:tplc="0422000F">
      <w:start w:val="1"/>
      <w:numFmt w:val="decimal"/>
      <w:suff w:val="tab"/>
      <w:lvlText w:val="%7."/>
      <w:lvlJc w:val="left"/>
      <w:pPr>
        <w:ind w:hanging="360" w:left="5247"/>
      </w:pPr>
      <w:rPr/>
    </w:lvl>
    <w:lvl w:ilvl="7" w:tplc="04220019">
      <w:start w:val="1"/>
      <w:numFmt w:val="lowerLetter"/>
      <w:suff w:val="tab"/>
      <w:lvlText w:val="%8."/>
      <w:lvlJc w:val="left"/>
      <w:pPr>
        <w:ind w:hanging="360" w:left="5967"/>
      </w:pPr>
      <w:rPr/>
    </w:lvl>
    <w:lvl w:ilvl="8" w:tplc="0422001B">
      <w:start w:val="1"/>
      <w:numFmt w:val="lowerRoman"/>
      <w:suff w:val="tab"/>
      <w:lvlText w:val="%9."/>
      <w:lvlJc w:val="right"/>
      <w:pPr>
        <w:ind w:hanging="180" w:left="6687"/>
      </w:pPr>
      <w:rPr/>
    </w:lvl>
  </w:abstractNum>
  <w:abstractNum w:abstractNumId="7">
    <w:nsid w:val="3F7414A6"/>
    <w:multiLevelType w:val="hybridMultilevel"/>
    <w:lvl w:ilvl="0" w:tplc="6C94C2DC">
      <w:start w:val="1"/>
      <w:numFmt w:val="decimal"/>
      <w:suff w:val="tab"/>
      <w:lvlText w:val="%1)"/>
      <w:lvlJc w:val="left"/>
      <w:pPr>
        <w:ind w:hanging="360" w:left="1080"/>
      </w:pPr>
      <w:rPr/>
    </w:lvl>
    <w:lvl w:ilvl="1" w:tplc="0422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22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22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22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22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22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22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22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8">
    <w:nsid w:val="50D77E28"/>
    <w:multiLevelType w:val="hybridMultilevel"/>
    <w:lvl w:ilvl="0" w:tplc="04220011">
      <w:start w:val="1"/>
      <w:numFmt w:val="decimal"/>
      <w:suff w:val="tab"/>
      <w:lvlText w:val="%1)"/>
      <w:lvlJc w:val="left"/>
      <w:pPr>
        <w:ind w:hanging="360" w:left="1440"/>
      </w:pPr>
      <w:rPr/>
    </w:lvl>
    <w:lvl w:ilvl="1" w:tplc="0422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22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22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22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22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22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22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22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9">
    <w:nsid w:val="599859A4"/>
    <w:multiLevelType w:val="hybridMultilevel"/>
    <w:lvl w:ilvl="0" w:tplc="04220011">
      <w:start w:val="1"/>
      <w:numFmt w:val="decimal"/>
      <w:suff w:val="tab"/>
      <w:lvlText w:val="%1)"/>
      <w:lvlJc w:val="left"/>
      <w:pPr>
        <w:ind w:hanging="360" w:left="1287"/>
      </w:pPr>
      <w:rPr/>
    </w:lvl>
    <w:lvl w:ilvl="1" w:tplc="04220019">
      <w:start w:val="1"/>
      <w:numFmt w:val="lowerLetter"/>
      <w:suff w:val="tab"/>
      <w:lvlText w:val="%2."/>
      <w:lvlJc w:val="left"/>
      <w:pPr>
        <w:ind w:hanging="360" w:left="2007"/>
      </w:pPr>
      <w:rPr/>
    </w:lvl>
    <w:lvl w:ilvl="2" w:tplc="0422001B">
      <w:start w:val="1"/>
      <w:numFmt w:val="lowerRoman"/>
      <w:suff w:val="tab"/>
      <w:lvlText w:val="%3."/>
      <w:lvlJc w:val="right"/>
      <w:pPr>
        <w:ind w:hanging="180" w:left="2727"/>
      </w:pPr>
      <w:rPr/>
    </w:lvl>
    <w:lvl w:ilvl="3" w:tplc="0422000F">
      <w:start w:val="1"/>
      <w:numFmt w:val="decimal"/>
      <w:suff w:val="tab"/>
      <w:lvlText w:val="%4."/>
      <w:lvlJc w:val="left"/>
      <w:pPr>
        <w:ind w:hanging="360" w:left="3447"/>
      </w:pPr>
      <w:rPr/>
    </w:lvl>
    <w:lvl w:ilvl="4" w:tplc="04220019">
      <w:start w:val="1"/>
      <w:numFmt w:val="lowerLetter"/>
      <w:suff w:val="tab"/>
      <w:lvlText w:val="%5."/>
      <w:lvlJc w:val="left"/>
      <w:pPr>
        <w:ind w:hanging="360" w:left="4167"/>
      </w:pPr>
      <w:rPr/>
    </w:lvl>
    <w:lvl w:ilvl="5" w:tplc="0422001B">
      <w:start w:val="1"/>
      <w:numFmt w:val="lowerRoman"/>
      <w:suff w:val="tab"/>
      <w:lvlText w:val="%6."/>
      <w:lvlJc w:val="right"/>
      <w:pPr>
        <w:ind w:hanging="180" w:left="4887"/>
      </w:pPr>
      <w:rPr/>
    </w:lvl>
    <w:lvl w:ilvl="6" w:tplc="0422000F">
      <w:start w:val="1"/>
      <w:numFmt w:val="decimal"/>
      <w:suff w:val="tab"/>
      <w:lvlText w:val="%7."/>
      <w:lvlJc w:val="left"/>
      <w:pPr>
        <w:ind w:hanging="360" w:left="5607"/>
      </w:pPr>
      <w:rPr/>
    </w:lvl>
    <w:lvl w:ilvl="7" w:tplc="04220019">
      <w:start w:val="1"/>
      <w:numFmt w:val="lowerLetter"/>
      <w:suff w:val="tab"/>
      <w:lvlText w:val="%8."/>
      <w:lvlJc w:val="left"/>
      <w:pPr>
        <w:ind w:hanging="360" w:left="6327"/>
      </w:pPr>
      <w:rPr/>
    </w:lvl>
    <w:lvl w:ilvl="8" w:tplc="0422001B">
      <w:start w:val="1"/>
      <w:numFmt w:val="lowerRoman"/>
      <w:suff w:val="tab"/>
      <w:lvlText w:val="%9."/>
      <w:lvlJc w:val="right"/>
      <w:pPr>
        <w:ind w:hanging="180" w:left="7047"/>
      </w:pPr>
      <w:rPr/>
    </w:lvl>
  </w:abstractNum>
  <w:abstractNum w:abstractNumId="10">
    <w:nsid w:val="5EFC24E3"/>
    <w:multiLevelType w:val="hybridMultilevel"/>
    <w:lvl w:ilvl="0" w:tplc="D096B1C8">
      <w:start w:val="1"/>
      <w:numFmt w:val="decimal"/>
      <w:suff w:val="tab"/>
      <w:lvlText w:val="%1."/>
      <w:lvlJc w:val="left"/>
      <w:pPr>
        <w:ind w:hanging="360" w:left="927"/>
      </w:pPr>
      <w:rPr>
        <w:color w:val="000000"/>
        <w:sz w:val="24"/>
      </w:rPr>
    </w:lvl>
    <w:lvl w:ilvl="1" w:tplc="04220019">
      <w:start w:val="1"/>
      <w:numFmt w:val="lowerLetter"/>
      <w:suff w:val="tab"/>
      <w:lvlText w:val="%2."/>
      <w:lvlJc w:val="left"/>
      <w:pPr>
        <w:ind w:hanging="360" w:left="1647"/>
      </w:pPr>
      <w:rPr/>
    </w:lvl>
    <w:lvl w:ilvl="2" w:tplc="0422001B">
      <w:start w:val="1"/>
      <w:numFmt w:val="lowerRoman"/>
      <w:suff w:val="tab"/>
      <w:lvlText w:val="%3."/>
      <w:lvlJc w:val="right"/>
      <w:pPr>
        <w:ind w:hanging="180" w:left="2367"/>
      </w:pPr>
      <w:rPr/>
    </w:lvl>
    <w:lvl w:ilvl="3" w:tplc="0422000F">
      <w:start w:val="1"/>
      <w:numFmt w:val="decimal"/>
      <w:suff w:val="tab"/>
      <w:lvlText w:val="%4."/>
      <w:lvlJc w:val="left"/>
      <w:pPr>
        <w:ind w:hanging="360" w:left="3087"/>
      </w:pPr>
      <w:rPr/>
    </w:lvl>
    <w:lvl w:ilvl="4" w:tplc="04220019">
      <w:start w:val="1"/>
      <w:numFmt w:val="lowerLetter"/>
      <w:suff w:val="tab"/>
      <w:lvlText w:val="%5."/>
      <w:lvlJc w:val="left"/>
      <w:pPr>
        <w:ind w:hanging="360" w:left="3807"/>
      </w:pPr>
      <w:rPr/>
    </w:lvl>
    <w:lvl w:ilvl="5" w:tplc="0422001B">
      <w:start w:val="1"/>
      <w:numFmt w:val="lowerRoman"/>
      <w:suff w:val="tab"/>
      <w:lvlText w:val="%6."/>
      <w:lvlJc w:val="right"/>
      <w:pPr>
        <w:ind w:hanging="180" w:left="4527"/>
      </w:pPr>
      <w:rPr/>
    </w:lvl>
    <w:lvl w:ilvl="6" w:tplc="0422000F">
      <w:start w:val="1"/>
      <w:numFmt w:val="decimal"/>
      <w:suff w:val="tab"/>
      <w:lvlText w:val="%7."/>
      <w:lvlJc w:val="left"/>
      <w:pPr>
        <w:ind w:hanging="360" w:left="5247"/>
      </w:pPr>
      <w:rPr/>
    </w:lvl>
    <w:lvl w:ilvl="7" w:tplc="04220019">
      <w:start w:val="1"/>
      <w:numFmt w:val="lowerLetter"/>
      <w:suff w:val="tab"/>
      <w:lvlText w:val="%8."/>
      <w:lvlJc w:val="left"/>
      <w:pPr>
        <w:ind w:hanging="360" w:left="5967"/>
      </w:pPr>
      <w:rPr/>
    </w:lvl>
    <w:lvl w:ilvl="8" w:tplc="0422001B">
      <w:start w:val="1"/>
      <w:numFmt w:val="lowerRoman"/>
      <w:suff w:val="tab"/>
      <w:lvlText w:val="%9."/>
      <w:lvlJc w:val="right"/>
      <w:pPr>
        <w:ind w:hanging="180" w:left="6687"/>
      </w:pPr>
      <w:rPr/>
    </w:lvl>
  </w:abstractNum>
  <w:abstractNum w:abstractNumId="11">
    <w:nsid w:val="6F83459C"/>
    <w:multiLevelType w:val="hybridMultilevel"/>
    <w:lvl w:ilvl="0" w:tplc="04220011">
      <w:start w:val="1"/>
      <w:numFmt w:val="decimal"/>
      <w:suff w:val="tab"/>
      <w:lvlText w:val="%1)"/>
      <w:lvlJc w:val="left"/>
      <w:pPr>
        <w:ind w:hanging="360" w:left="1287"/>
      </w:pPr>
      <w:rPr/>
    </w:lvl>
    <w:lvl w:ilvl="1" w:tplc="04220019">
      <w:start w:val="1"/>
      <w:numFmt w:val="lowerLetter"/>
      <w:suff w:val="tab"/>
      <w:lvlText w:val="%2."/>
      <w:lvlJc w:val="left"/>
      <w:pPr>
        <w:ind w:hanging="360" w:left="2007"/>
      </w:pPr>
      <w:rPr/>
    </w:lvl>
    <w:lvl w:ilvl="2" w:tplc="0422001B">
      <w:start w:val="1"/>
      <w:numFmt w:val="lowerRoman"/>
      <w:suff w:val="tab"/>
      <w:lvlText w:val="%3."/>
      <w:lvlJc w:val="right"/>
      <w:pPr>
        <w:ind w:hanging="180" w:left="2727"/>
      </w:pPr>
      <w:rPr/>
    </w:lvl>
    <w:lvl w:ilvl="3" w:tplc="0422000F">
      <w:start w:val="1"/>
      <w:numFmt w:val="decimal"/>
      <w:suff w:val="tab"/>
      <w:lvlText w:val="%4."/>
      <w:lvlJc w:val="left"/>
      <w:pPr>
        <w:ind w:hanging="360" w:left="3447"/>
      </w:pPr>
      <w:rPr/>
    </w:lvl>
    <w:lvl w:ilvl="4" w:tplc="04220019">
      <w:start w:val="1"/>
      <w:numFmt w:val="lowerLetter"/>
      <w:suff w:val="tab"/>
      <w:lvlText w:val="%5."/>
      <w:lvlJc w:val="left"/>
      <w:pPr>
        <w:ind w:hanging="360" w:left="4167"/>
      </w:pPr>
      <w:rPr/>
    </w:lvl>
    <w:lvl w:ilvl="5" w:tplc="0422001B">
      <w:start w:val="1"/>
      <w:numFmt w:val="lowerRoman"/>
      <w:suff w:val="tab"/>
      <w:lvlText w:val="%6."/>
      <w:lvlJc w:val="right"/>
      <w:pPr>
        <w:ind w:hanging="180" w:left="4887"/>
      </w:pPr>
      <w:rPr/>
    </w:lvl>
    <w:lvl w:ilvl="6" w:tplc="0422000F">
      <w:start w:val="1"/>
      <w:numFmt w:val="decimal"/>
      <w:suff w:val="tab"/>
      <w:lvlText w:val="%7."/>
      <w:lvlJc w:val="left"/>
      <w:pPr>
        <w:ind w:hanging="360" w:left="5607"/>
      </w:pPr>
      <w:rPr/>
    </w:lvl>
    <w:lvl w:ilvl="7" w:tplc="04220019">
      <w:start w:val="1"/>
      <w:numFmt w:val="lowerLetter"/>
      <w:suff w:val="tab"/>
      <w:lvlText w:val="%8."/>
      <w:lvlJc w:val="left"/>
      <w:pPr>
        <w:ind w:hanging="360" w:left="6327"/>
      </w:pPr>
      <w:rPr/>
    </w:lvl>
    <w:lvl w:ilvl="8" w:tplc="0422001B">
      <w:start w:val="1"/>
      <w:numFmt w:val="lowerRoman"/>
      <w:suff w:val="tab"/>
      <w:lvlText w:val="%9."/>
      <w:lvlJc w:val="right"/>
      <w:pPr>
        <w:ind w:hanging="180" w:left="7047"/>
      </w:pPr>
      <w:rPr/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9"/>
  </w:num>
  <w:num w:numId="8">
    <w:abstractNumId w:val="4"/>
  </w:num>
  <w:num w:numId="9">
    <w:abstractNumId w:val="11"/>
  </w:num>
  <w:num w:numId="10">
    <w:abstractNumId w:val="6"/>
  </w:num>
  <w:num w:numId="11">
    <w:abstractNumId w:val="8"/>
  </w:num>
  <w:num w:numId="12">
    <w:abstractNumId w:val="7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hyphenationZone w:val="425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0"/>
        <w:szCs w:val="22"/>
        <w:lang w:val="uk-UA" w:bidi="ar-SA" w:eastAsia="uk-UA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next w:val="P0"/>
    <w:qFormat/>
    <w:pPr>
      <w:keepNext w:val="1"/>
      <w:keepLines w:val="1"/>
      <w:spacing w:before="480" w:after="120" w:beforeAutospacing="0" w:afterAutospacing="0"/>
      <w:outlineLvl w:val="0"/>
    </w:pPr>
    <w:rPr>
      <w:b w:val="1"/>
      <w:sz w:val="48"/>
      <w:szCs w:val="48"/>
    </w:rPr>
  </w:style>
  <w:style w:type="paragraph" w:styleId="P2">
    <w:name w:val="heading 2"/>
    <w:basedOn w:val="P0"/>
    <w:next w:val="P0"/>
    <w:semiHidden/>
    <w:qFormat/>
    <w:pPr>
      <w:keepNext w:val="1"/>
      <w:keepLines w:val="1"/>
      <w:spacing w:before="360" w:after="80" w:beforeAutospacing="0" w:afterAutospacing="0"/>
      <w:outlineLvl w:val="1"/>
    </w:pPr>
    <w:rPr>
      <w:b w:val="1"/>
      <w:sz w:val="36"/>
      <w:szCs w:val="36"/>
    </w:rPr>
  </w:style>
  <w:style w:type="paragraph" w:styleId="P3">
    <w:name w:val="heading 3"/>
    <w:basedOn w:val="P0"/>
    <w:next w:val="P0"/>
    <w:semiHidden/>
    <w:qFormat/>
    <w:pPr>
      <w:keepNext w:val="1"/>
      <w:keepLines w:val="1"/>
      <w:spacing w:before="280" w:after="80" w:beforeAutospacing="0" w:afterAutospacing="0"/>
      <w:outlineLvl w:val="2"/>
    </w:pPr>
    <w:rPr>
      <w:b w:val="1"/>
      <w:sz w:val="28"/>
      <w:szCs w:val="28"/>
    </w:rPr>
  </w:style>
  <w:style w:type="paragraph" w:styleId="P4">
    <w:name w:val="heading 4"/>
    <w:basedOn w:val="P0"/>
    <w:next w:val="P0"/>
    <w:semiHidden/>
    <w:qFormat/>
    <w:pPr>
      <w:keepNext w:val="1"/>
      <w:keepLines w:val="1"/>
      <w:spacing w:before="240" w:after="40" w:beforeAutospacing="0" w:afterAutospacing="0"/>
      <w:outlineLvl w:val="3"/>
    </w:pPr>
    <w:rPr>
      <w:b w:val="1"/>
      <w:sz w:val="24"/>
      <w:szCs w:val="24"/>
    </w:rPr>
  </w:style>
  <w:style w:type="paragraph" w:styleId="P5">
    <w:name w:val="heading 5"/>
    <w:basedOn w:val="P0"/>
    <w:next w:val="P0"/>
    <w:semiHidden/>
    <w:qFormat/>
    <w:pPr>
      <w:keepNext w:val="1"/>
      <w:keepLines w:val="1"/>
      <w:spacing w:before="220" w:after="40" w:beforeAutospacing="0" w:afterAutospacing="0"/>
      <w:outlineLvl w:val="4"/>
    </w:pPr>
    <w:rPr>
      <w:b w:val="1"/>
      <w:sz w:val="22"/>
      <w:szCs w:val="22"/>
    </w:rPr>
  </w:style>
  <w:style w:type="paragraph" w:styleId="P6">
    <w:name w:val="heading 6"/>
    <w:basedOn w:val="P0"/>
    <w:next w:val="P0"/>
    <w:semiHidden/>
    <w:qFormat/>
    <w:pPr>
      <w:keepNext w:val="1"/>
      <w:keepLines w:val="1"/>
      <w:spacing w:before="200" w:after="40" w:beforeAutospacing="0" w:afterAutospacing="0"/>
      <w:outlineLvl w:val="5"/>
    </w:pPr>
    <w:rPr>
      <w:b w:val="1"/>
    </w:rPr>
  </w:style>
  <w:style w:type="paragraph" w:styleId="P7">
    <w:name w:val="Title"/>
    <w:basedOn w:val="P0"/>
    <w:next w:val="P0"/>
    <w:qFormat/>
    <w:pPr>
      <w:keepNext w:val="1"/>
      <w:keepLines w:val="1"/>
      <w:spacing w:before="480" w:after="120" w:beforeAutospacing="0" w:afterAutospacing="0"/>
    </w:pPr>
    <w:rPr>
      <w:b w:val="1"/>
      <w:sz w:val="72"/>
      <w:szCs w:val="72"/>
    </w:rPr>
  </w:style>
  <w:style w:type="paragraph" w:styleId="P8">
    <w:name w:val="Subtitle"/>
    <w:basedOn w:val="P0"/>
    <w:next w:val="P0"/>
    <w:qFormat/>
    <w:pPr>
      <w:keepNext w:val="1"/>
      <w:keepLines w:val="1"/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spacing w:before="360" w:after="80" w:beforeAutospacing="0" w:afterAutospacing="0"/>
    </w:pPr>
    <w:rPr>
      <w:rFonts w:ascii="Georgia" w:hAnsi="Georgia"/>
      <w:i w:val="1"/>
      <w:color w:val="666666"/>
      <w:sz w:val="48"/>
      <w:szCs w:val="48"/>
    </w:rPr>
  </w:style>
  <w:style w:type="paragraph" w:styleId="P9">
    <w:name w:val="List Paragraph"/>
    <w:basedOn w:val="P0"/>
    <w:qFormat/>
    <w:pPr>
      <w:ind w:left="720"/>
      <w:contextualSpacing w:val="1"/>
    </w:pPr>
    <w:rPr/>
  </w:style>
  <w:style w:type="paragraph" w:styleId="P10">
    <w:name w:val="rvps2"/>
    <w:basedOn w:val="P0"/>
    <w:pPr>
      <w:spacing w:before="100" w:after="100" w:beforeAutospacing="1" w:afterAutospacing="1"/>
    </w:pPr>
    <w:rPr>
      <w:sz w:val="24"/>
      <w:szCs w:val="24"/>
      <w:lang w:eastAsia="ru-RU"/>
    </w:rPr>
  </w:style>
  <w:style w:type="paragraph" w:styleId="P11">
    <w:name w:val="Абзац списка1"/>
    <w:basedOn w:val="P0"/>
    <w:pPr>
      <w:suppressAutoHyphens w:val="1"/>
      <w:ind w:firstLine="566" w:left="318"/>
      <w:jc w:val="both"/>
    </w:pPr>
    <w:rPr>
      <w:sz w:val="24"/>
      <w:szCs w:val="24"/>
      <w:kern w:val="2"/>
      <w:lang w:eastAsia="zh-CN"/>
    </w:rPr>
  </w:style>
  <w:style w:type="paragraph" w:styleId="P12">
    <w:name w:val="footer"/>
    <w:basedOn w:val="P0"/>
    <w:link w:val="C4"/>
    <w:pPr>
      <w:tabs>
        <w:tab w:val="center" w:pos="4513" w:leader="none"/>
        <w:tab w:val="right" w:pos="9026" w:leader="none"/>
      </w:tabs>
    </w:pPr>
    <w:rPr/>
  </w:style>
  <w:style w:type="paragraph" w:styleId="P13">
    <w:name w:val="header"/>
    <w:basedOn w:val="P0"/>
    <w:link w:val="C5"/>
    <w:pPr>
      <w:tabs>
        <w:tab w:val="center" w:pos="4513" w:leader="none"/>
        <w:tab w:val="right" w:pos="9026" w:leader="none"/>
      </w:tabs>
    </w:pPr>
    <w:rPr/>
  </w:style>
  <w:style w:type="paragraph" w:styleId="P14">
    <w:name w:val="footnote text"/>
    <w:basedOn w:val="P0"/>
    <w:link w:val="C7"/>
    <w:semiHidden/>
    <w:pPr/>
    <w:rPr/>
  </w:style>
  <w:style w:type="paragraph" w:styleId="P15">
    <w:name w:val="endnote text"/>
    <w:link w:val="C10"/>
    <w:semiHidden/>
    <w:pPr>
      <w:spacing w:lineRule="auto" w:line="240" w:after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semiHidden/>
    <w:rPr>
      <w:color w:val="0000FF"/>
      <w:u w:val="single"/>
    </w:rPr>
  </w:style>
  <w:style w:type="character" w:styleId="C3">
    <w:name w:val="apple-converted-space"/>
    <w:basedOn w:val="C0"/>
    <w:rPr/>
  </w:style>
  <w:style w:type="character" w:styleId="C4">
    <w:name w:val="Нижній колонтитул Знак"/>
    <w:basedOn w:val="C0"/>
    <w:link w:val="P12"/>
    <w:rPr/>
  </w:style>
  <w:style w:type="character" w:styleId="C5">
    <w:name w:val="Верхній колонтитул Знак"/>
    <w:basedOn w:val="C0"/>
    <w:link w:val="P13"/>
    <w:rPr/>
  </w:style>
  <w:style w:type="character" w:styleId="C6">
    <w:name w:val="footnote reference"/>
    <w:semiHidden/>
    <w:rPr>
      <w:vertAlign w:val="superscript"/>
    </w:rPr>
  </w:style>
  <w:style w:type="character" w:styleId="C7">
    <w:name w:val="Текст виноски Знак"/>
    <w:basedOn w:val="C0"/>
    <w:link w:val="P14"/>
    <w:semiHidden/>
    <w:rPr/>
  </w:style>
  <w:style w:type="character" w:styleId="C8">
    <w:name w:val="Footnote Text Char"/>
    <w:semiHidden/>
    <w:rPr>
      <w:sz w:val="20"/>
      <w:szCs w:val="20"/>
    </w:rPr>
  </w:style>
  <w:style w:type="character" w:styleId="C9">
    <w:name w:val="endnote reference"/>
    <w:semiHidden/>
    <w:rPr>
      <w:vertAlign w:val="superscript"/>
    </w:rPr>
  </w:style>
  <w:style w:type="character" w:styleId="C10">
    <w:name w:val="Endnote Text Char"/>
    <w:link w:val="P15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Normal"/>
    <w:tblPr>
      <w:tblCellMar>
        <w:top w:w="0" w:type="dxa"/>
        <w:left w:w="0" w:type="dxa"/>
        <w:bottom w:w="0" w:type="dxa"/>
        <w:right w:w="0" w:type="dxa"/>
      </w:tblCellMar>
    </w:tblPr>
    <w:trPr/>
    <w:tcPr/>
  </w:style>
  <w:style w:type="table" w:styleId="T3">
    <w:name w:val="Table Normal"/>
    <w:tblPr>
      <w:tblCellMar>
        <w:top w:w="0" w:type="dxa"/>
        <w:left w:w="0" w:type="dxa"/>
        <w:bottom w:w="0" w:type="dxa"/>
        <w:right w:w="0" w:type="dxa"/>
      </w:tblCellMar>
    </w:tblPr>
    <w:trPr/>
    <w:tcPr/>
  </w:style>
  <w:style w:type="table" w:styleId="T4">
    <w:name w:val=""/>
    <w:basedOn w:val="T3"/>
    <w:tblPr>
      <w:tblStyleRowBandSize w:val="1"/>
      <w:tblStyleColBandSize w:val="1"/>
      <w:tblCellMar>
        <w:left w:w="108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Relationship Id="RelItem1" Type="http://schemas.openxmlformats.org/officeDocument/2006/relationships/customXml" Target="../customXml/item1.xml" /><Relationship Id="RelItem2" Type="http://schemas.openxmlformats.org/officeDocument/2006/relationships/customXml" Target="../customXml/item2.xml" /></Relationships>
</file>

<file path=word/_rels/endnotes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_rels/header1.xml.rels>&#65279;<?xml version="1.0" encoding="utf-8"?><Relationships xmlns="http://schemas.openxmlformats.org/package/2006/relationships" />
</file>

<file path=word/_rels/header2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tGd3I6d+GU7+jx5hYTnw58yjFw==">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</go:docsCustomData>
</go:gDocsCustomXmlDataStorage>
</file>

<file path=customXml/itemProps1.xml><?xml version="1.0" encoding="utf-8"?>
<ds:datastoreItem xmlns:ds="http://schemas.openxmlformats.org/officeDocument/2006/customXml" ds:itemID="{8496bb2b-6aee-46a4-a116-f765bc7c7fa2}">
  <ds:schemaRefs>
    <ds:schemaRef ds:uri="http://schemas.microsoft.com/vsto/sample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Петро Балабан</dc:creator>
  <dcterms:created xsi:type="dcterms:W3CDTF">2025-06-30T19:15:00Z</dcterms:created>
  <cp:lastModifiedBy>ASKOD</cp:lastModifiedBy>
  <dcterms:modified xsi:type="dcterms:W3CDTF">2025-07-01T14:02:07Z</dcterms:modified>
  <cp:revision>3</cp:revision>
</cp:coreProperties>
</file>