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val="uk-UA"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 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15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(відповідно до пункту 4</w:t>
      </w:r>
      <w:r>
        <w:rPr>
          <w:rFonts w:eastAsia="Times New Roman" w:cs="Times New Roman" w:ascii="Times New Roman" w:hAnsi="Times New Roman"/>
          <w:sz w:val="20"/>
          <w:szCs w:val="20"/>
          <w:vertAlign w:val="superscript"/>
          <w:lang w:eastAsia="ru-RU"/>
        </w:rPr>
        <w:t>1 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постанови КМУ від 11.10.2016 № 710 «Про ефективне використання державних коштів» (зі змінами)</w:t>
      </w:r>
    </w:p>
    <w:p>
      <w:pPr>
        <w:pStyle w:val="Normal"/>
        <w:pBdr>
          <w:bottom w:val="single" w:sz="4" w:space="1" w:color="000000"/>
        </w:pBd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5"/>
          <w:szCs w:val="25"/>
          <w:lang w:val="uk-UA" w:eastAsia="ru-RU"/>
        </w:rPr>
      </w:pPr>
      <w:r>
        <w:rPr>
          <w:rFonts w:eastAsia="Times New Roman" w:cs="Times New Roman" w:ascii="Times New Roman" w:hAnsi="Times New Roman"/>
          <w:b/>
          <w:sz w:val="25"/>
          <w:szCs w:val="25"/>
          <w:lang w:val="uk-UA" w:eastAsia="ru-RU"/>
        </w:rPr>
      </w:r>
    </w:p>
    <w:tbl>
      <w:tblPr>
        <w:tblStyle w:val="ae"/>
        <w:tblW w:w="94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44"/>
        <w:gridCol w:w="7035"/>
      </w:tblGrid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Найменування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Північний міжрегіональний центр з надання безоплатної правничої допомоги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ЄДРПОУ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39776588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Місцезнаходження Замовника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03087, м. Київ, вул. Єреванська, 32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Назва предмета закупівлі із зазначенням коду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Електронні комунікаційні послуги (послуги ІP- телефонії)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</w:rPr>
              <w:t xml:space="preserve">код ДК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6"/>
                <w:szCs w:val="26"/>
                <w:lang w:val="uk-UA"/>
              </w:rPr>
              <w:t>024:2015:</w:t>
            </w:r>
            <w:r>
              <w:rPr>
                <w:rFonts w:eastAsia="Times New Roman" w:cs="Times New Roman" w:ascii="Times New Roman" w:hAnsi="Times New Roman"/>
                <w:b/>
                <w:bCs w:val="false"/>
                <w:i/>
                <w:iCs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  <w:t>64210000-1 Послуги телефонного зв’язку та передачі даних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Вид та ідентифікатор закупівлі: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eastAsia="ru-RU"/>
              </w:rPr>
              <w:t>UA-2026-04-17-011403-a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eastAsia="ru-RU"/>
              </w:rPr>
              <w:t xml:space="preserve"> 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Очікувана вартість закупівлі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8 050,00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eastAsia="ru-RU"/>
              </w:rPr>
              <w:t>,00 (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 xml:space="preserve">вісім тисяч п’ятдесят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гривень 00 копійок) з ПДВ </w:t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очікуваної вартості закупівлі</w:t>
            </w:r>
          </w:p>
        </w:tc>
        <w:tc>
          <w:tcPr>
            <w:tcW w:w="7035" w:type="dxa"/>
            <w:tcBorders/>
          </w:tcPr>
          <w:p>
            <w:pPr>
              <w:pStyle w:val="ListParagraph"/>
              <w:widowControl/>
              <w:shd w:val="clear" w:color="auto" w:fill="FFFFFF"/>
              <w:bidi w:val="0"/>
              <w:spacing w:lineRule="auto" w:line="240" w:before="0" w:after="0"/>
              <w:ind w:left="0" w:right="57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 за посиланням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eastAsia="ru-RU"/>
              </w:rPr>
              <w:t> 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https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://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zakon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gov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.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ua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rada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show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/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v</w:t>
            </w:r>
            <w:r>
              <w:rPr>
                <w:rFonts w:cs="Times New Roman" w:ascii="Times New Roman" w:hAnsi="Times New Roman"/>
                <w:i/>
                <w:sz w:val="25"/>
                <w:szCs w:val="25"/>
                <w:lang w:val="uk-UA"/>
              </w:rPr>
              <w:t>0275915-20#</w:t>
            </w:r>
            <w:r>
              <w:rPr>
                <w:rFonts w:cs="Times New Roman" w:ascii="Times New Roman" w:hAnsi="Times New Roman"/>
                <w:i/>
                <w:sz w:val="25"/>
                <w:szCs w:val="25"/>
              </w:rPr>
              <w:t>Text</w:t>
            </w: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  <w:t xml:space="preserve">. </w:t>
            </w:r>
          </w:p>
          <w:p>
            <w:pPr>
              <w:pStyle w:val="ListParagraph"/>
              <w:shd w:val="clear" w:color="auto"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i/>
                <w:iCs/>
                <w:caps w:val="false"/>
                <w:smallCaps w:val="false"/>
                <w:color w:val="0A0A0A"/>
                <w:spacing w:val="0"/>
                <w:sz w:val="26"/>
                <w:szCs w:val="26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6"/>
                <w:szCs w:val="26"/>
                <w:lang w:val="uk-UA" w:eastAsia="ru-RU" w:bidi="ar-SA"/>
              </w:rPr>
              <w:t>пошуку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sz w:val="26"/>
                <w:szCs w:val="26"/>
                <w:lang w:val="uk-UA" w:eastAsia="ru-RU"/>
              </w:rPr>
              <w:t xml:space="preserve"> загальнодоступної іінформації про ціну на послугу, що міститься в мережі Інтернет у відкритому доступі, в тому числі на сайтах постачальників даної послуги, в електронних каталогах, рекламі, прайс-листах, в електронній системі закупівель "Prozorro" та на аналогічних торгівельних електронних майданчиках.</w:t>
            </w:r>
          </w:p>
          <w:p>
            <w:pPr>
              <w:pStyle w:val="ListParagraph"/>
              <w:shd w:val="clear" w:color="auto" w:fill="FFFFFF"/>
              <w:spacing w:lineRule="auto" w:line="240" w:before="0" w:after="0"/>
              <w:ind w:left="0" w:hanging="0"/>
              <w:contextualSpacing/>
              <w:jc w:val="both"/>
              <w:rPr>
                <w:rStyle w:val="Style16"/>
                <w:rFonts w:ascii="Times New Roman" w:hAnsi="Times New Roman" w:eastAsia="Times New Roman" w:cs="Times New Roman"/>
                <w:i/>
                <w:i/>
                <w:sz w:val="25"/>
                <w:szCs w:val="25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5"/>
                <w:szCs w:val="25"/>
                <w:lang w:val="uk-UA" w:eastAsia="ru-RU"/>
              </w:rPr>
            </w:r>
          </w:p>
        </w:tc>
      </w:tr>
      <w:tr>
        <w:trPr/>
        <w:tc>
          <w:tcPr>
            <w:tcW w:w="244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sz w:val="26"/>
                <w:szCs w:val="26"/>
                <w:lang w:val="uk-UA" w:eastAsia="ru-RU"/>
              </w:rPr>
              <w:t>Обгрунтування технічних та якісних характеристик предмета закупівлі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Закупівля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Електронні комунікаційні послуги (послуги ІP- телефонії)</w:t>
            </w:r>
            <w:r>
              <w:rPr>
                <w:rFonts w:eastAsia="Times New Roman" w:cs="Times New Roman" w:ascii="Times New Roman" w:hAnsi="Times New Roman"/>
                <w:i/>
                <w:iCs/>
                <w:sz w:val="26"/>
                <w:szCs w:val="26"/>
                <w:lang w:val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з даними технічними та якісними характеристиками обгрунтована наявною потребою Замовника з огляду на характеристики визначені у службовій записці  від ініціатора закупівлі від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16.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04.2026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№ Вн/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11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/1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236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Строк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поставки товару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sz w:val="26"/>
                <w:szCs w:val="26"/>
                <w:lang w:val="uk-UA" w:eastAsia="ru-RU"/>
              </w:rPr>
              <w:t>з моменту підписання договору до 31 грудня 2026 року.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 xml:space="preserve">Кількість та місце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надання послуг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sz w:val="26"/>
                <w:szCs w:val="26"/>
                <w:lang w:val="uk-UA" w:eastAsia="ru-RU"/>
              </w:rPr>
              <w:t>: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170" w:hanging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 xml:space="preserve">Адреса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надання послуг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 xml:space="preserve"> 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м. Київ, вул. Платона Майбороди, 23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26"/>
                <w:szCs w:val="26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 xml:space="preserve">Кількість —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color w:val="auto"/>
                <w:kern w:val="0"/>
                <w:sz w:val="26"/>
                <w:szCs w:val="26"/>
                <w:lang w:val="uk-UA" w:eastAsia="ru-RU" w:bidi="ar-SA"/>
              </w:rPr>
              <w:t>1 послуга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sz w:val="26"/>
                <w:szCs w:val="26"/>
                <w:lang w:val="uk-UA" w:eastAsia="ru-RU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uk-UA" w:eastAsia="zh-CN" w:bidi="hi-IN"/>
        </w:rPr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Послуги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мають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нада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ru-RU" w:eastAsia="zh-CN" w:bidi="hi-IN"/>
        </w:rPr>
        <w:t>ватися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безперервно 24 години на добу, 7 днів на тиждень до 31 грудня 2026 року.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З метою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A0A0A"/>
          <w:spacing w:val="0"/>
          <w:kern w:val="2"/>
          <w:sz w:val="26"/>
          <w:szCs w:val="26"/>
          <w:lang w:eastAsia="zh-CN" w:bidi="hi-IN"/>
        </w:rPr>
        <w:t xml:space="preserve">забезпечення належної комунікації з контрагентами та виконання завдань, визначених законодавством у сфері надання безоплатної правничої допомоги, виникла потреба в оптимізації каналів зворотного зв’язку.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sz w:val="24"/>
          <w:szCs w:val="24"/>
          <w:u w:val="single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u w:val="single"/>
          <w:lang w:eastAsia="zh-CN" w:bidi="hi-IN"/>
        </w:rPr>
        <w:t>Вимоги до послуги IP-телефонії, які повинні бути забезпечені: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Calibri" w:cs="Times New Roman" w:ascii="Times New Roman" w:hAnsi="Times New Roman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 Цілодобовий режим роботи.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2. Період надання послуг до 23:59:59 год. 31.12.2026 р.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color w:val="000000" w:themeColor="text1"/>
          <w:sz w:val="24"/>
          <w:szCs w:val="24"/>
        </w:rPr>
      </w:pP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3. </w:t>
      </w:r>
      <w:r>
        <w:rPr>
          <w:rFonts w:eastAsia="Times New Roman" w:cs="Times New Roman" w:ascii="Times New Roman" w:hAnsi="Times New Roman"/>
          <w:color w:val="000000" w:themeColor="text1"/>
          <w:kern w:val="2"/>
          <w:sz w:val="24"/>
          <w:szCs w:val="24"/>
          <w:lang w:eastAsia="zh-CN" w:bidi="hi-IN"/>
        </w:rPr>
        <w:t>Надання SIP транку (10 голосових ліній) та одного багатоканального міського номеру (10 каналів) для прийому вхідних та здійснення вихідних дзвінків (кількість вихідних дзвінків: не менше 1 500 хв. розмов на місяць).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4.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Вимоги до організації вихідних дзвінків: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вихідні дзвінки на міські номера та номера усіх мобільних операторів України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 xml:space="preserve"> дозволено;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- вихідні міжнародні дзвінки —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заборонено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- вихідні міжміські дзвінки —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заборонено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;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- вихідні дзвінки на номери з кодом 0900, 0703 (платні інформаційно-довідкові, розважально-ігрові послуги) —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4"/>
          <w:szCs w:val="24"/>
          <w:lang w:eastAsia="zh-CN" w:bidi="hi-IN"/>
        </w:rPr>
        <w:t>заборонено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 xml:space="preserve">5. Підключення та надання послуги Віртуальної АТС та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val="en-US" w:eastAsia="zh-CN" w:bidi="hi-IN"/>
        </w:rPr>
        <w:t xml:space="preserve">CRM </w:t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з функціями фіксації дзвінків та запису розмов.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6. Інформування відповідальних осіб Замовника не пізніше як за 24 години до початку - технічних робіт про зупинення надання доступу до послуги IP телефонії.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lang w:eastAsia="zh-CN" w:bidi="hi-IN"/>
        </w:rPr>
        <w:t>7. Безперебійне надання послуг, контроль і забезпечення функціонування послуг за схемою 24 години на добу, 7 днів на тиждень протягом дії терміну надання послуги.</w:t>
      </w:r>
    </w:p>
    <w:p>
      <w:pPr>
        <w:pStyle w:val="Normal"/>
        <w:widowControl w:val="false"/>
        <w:pBdr>
          <w:bottom w:val="single" w:sz="4" w:space="1" w:color="000000"/>
        </w:pBd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hi-IN"/>
        </w:rPr>
        <w:t>8. У разі аварійної ситуації Учасник повинен забезпечити реагування власними силами на несправність на протязі 4 годин з моменту отримання повідомлення про несправність. Учасник виконує комплекс дій з встановлення причини пошкодження та протягом наступних 8 годин виконує аварійно - відновлювальні роботи.</w:t>
      </w:r>
    </w:p>
    <w:p>
      <w:pPr>
        <w:pStyle w:val="Normal"/>
        <w:widowControl/>
        <w:pBdr>
          <w:bottom w:val="single" w:sz="4" w:space="1" w:color="000000"/>
        </w:pBdr>
        <w:shd w:val="clear" w:color="auto" w:fill="FFFFFF"/>
        <w:bidi w:val="0"/>
        <w:spacing w:lineRule="auto" w:line="240" w:before="0" w:after="0"/>
        <w:ind w:left="0" w:right="1304" w:hang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701" w:right="107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NewRomanPS-BoldMT">
    <w:charset w:val="cc"/>
    <w:family w:val="roman"/>
    <w:pitch w:val="variable"/>
  </w:font>
  <w:font w:name="TimesNewRomanPSM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d945c6"/>
    <w:rPr>
      <w:rFonts w:ascii="Segoe UI" w:hAnsi="Segoe UI" w:cs="Segoe UI"/>
      <w:sz w:val="18"/>
      <w:szCs w:val="18"/>
    </w:rPr>
  </w:style>
  <w:style w:type="character" w:styleId="Style15" w:customStyle="1">
    <w:name w:val="Гіперпосилання"/>
    <w:rPr>
      <w:color w:val="000080"/>
      <w:u w:val="single"/>
    </w:rPr>
  </w:style>
  <w:style w:type="character" w:styleId="Fontstyle01" w:customStyle="1">
    <w:name w:val="fontstyle01"/>
    <w:qFormat/>
    <w:rPr>
      <w:rFonts w:ascii="TimesNewRomanPS-BoldMT" w:hAnsi="TimesNewRomanPS-BoldMT"/>
      <w:b/>
      <w:bCs w:val="false"/>
      <w:color w:val="000000"/>
      <w:sz w:val="22"/>
    </w:rPr>
  </w:style>
  <w:style w:type="character" w:styleId="Fontstyle21" w:customStyle="1">
    <w:name w:val="fontstyle21"/>
    <w:qFormat/>
    <w:rPr>
      <w:rFonts w:ascii="TimesNewRomanPSMT" w:hAnsi="TimesNewRomanPSMT"/>
      <w:color w:val="000000"/>
      <w:sz w:val="22"/>
    </w:rPr>
  </w:style>
  <w:style w:type="character" w:styleId="FontStyle43" w:customStyle="1">
    <w:name w:val="Font Style43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6">
    <w:name w:val="Виділення"/>
    <w:qFormat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75f8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d945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a674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6933-801C-45F7-A463-959A8CAB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Application>LibreOffice/6.4.1.2$Windows_x86 LibreOffice_project/4d224e95b98b138af42a64d84056446d09082932</Application>
  <Pages>2</Pages>
  <Words>517</Words>
  <Characters>3559</Characters>
  <CharactersWithSpaces>4052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2024-10-28T18:52:00Z</dcterms:created>
  <dc:creator>Пользователь</dc:creator>
  <dc:description/>
  <dc:language>uk-UA</dc:language>
  <cp:lastModifiedBy/>
  <cp:lastPrinted>2026-04-17T16:53:04Z</cp:lastPrinted>
  <dcterms:modified xsi:type="dcterms:W3CDTF">2026-04-17T16:53:10Z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