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4" w:space="1" w:color="000000"/>
        </w:pBdr>
        <w:shd w:val="clear" w:color="auto" w:fill="FFFFFF"/>
        <w:spacing w:lineRule="auto" w:line="240" w:before="0" w:after="15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 </w:t>
      </w:r>
    </w:p>
    <w:p>
      <w:pPr>
        <w:pStyle w:val="Normal"/>
        <w:pBdr>
          <w:bottom w:val="single" w:sz="4" w:space="1" w:color="000000"/>
        </w:pBdr>
        <w:shd w:val="clear" w:color="auto" w:fill="FFFFFF"/>
        <w:spacing w:lineRule="auto" w:line="240" w:before="0" w:after="15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(відповідно до пункту 4</w:t>
      </w:r>
      <w:r>
        <w:rPr>
          <w:rFonts w:eastAsia="Times New Roman" w:cs="Times New Roman" w:ascii="Times New Roman" w:hAnsi="Times New Roman"/>
          <w:sz w:val="20"/>
          <w:szCs w:val="20"/>
          <w:vertAlign w:val="superscript"/>
          <w:lang w:eastAsia="ru-RU"/>
        </w:rPr>
        <w:t>1 </w:t>
      </w:r>
      <w:r>
        <w:rPr>
          <w:rFonts w:eastAsia="Times New Roman" w:cs="Times New Roman" w:ascii="Times New Roman" w:hAnsi="Times New Roman"/>
          <w:sz w:val="20"/>
          <w:szCs w:val="20"/>
          <w:lang w:eastAsia="ru-RU"/>
        </w:rPr>
        <w:t>постанови КМУ від 11.10.2016 № 710 «Про ефективне використання державних коштів» (зі змінами)</w:t>
      </w:r>
    </w:p>
    <w:p>
      <w:pPr>
        <w:pStyle w:val="Normal"/>
        <w:pBdr>
          <w:bottom w:val="single" w:sz="4" w:space="1" w:color="000000"/>
        </w:pBdr>
        <w:shd w:val="clear" w:color="auto" w:fill="FFFFFF"/>
        <w:spacing w:lineRule="auto" w:line="240" w:before="0" w:after="0"/>
        <w:rPr>
          <w:rFonts w:ascii="Times New Roman" w:hAnsi="Times New Roman" w:eastAsia="Times New Roman" w:cs="Times New Roman"/>
          <w:b/>
          <w:sz w:val="25"/>
          <w:szCs w:val="25"/>
          <w:lang w:val="uk-UA" w:eastAsia="ru-RU"/>
        </w:rPr>
      </w:pPr>
      <w:r>
        <w:rPr>
          <w:rFonts w:eastAsia="Times New Roman" w:cs="Times New Roman" w:ascii="Times New Roman" w:hAnsi="Times New Roman"/>
          <w:b/>
          <w:sz w:val="25"/>
          <w:szCs w:val="25"/>
          <w:lang w:val="uk-UA" w:eastAsia="ru-RU"/>
        </w:rPr>
      </w:r>
    </w:p>
    <w:tbl>
      <w:tblPr>
        <w:tblStyle w:val="a4"/>
        <w:tblW w:w="957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603"/>
        <w:gridCol w:w="6973"/>
      </w:tblGrid>
      <w:tr>
        <w:trPr/>
        <w:tc>
          <w:tcPr>
            <w:tcW w:w="2603" w:type="dxa"/>
            <w:tcBorders/>
          </w:tcPr>
          <w:p>
            <w:pPr>
              <w:pStyle w:val="Normal"/>
              <w:suppressAutoHyphens w:val="true"/>
              <w:spacing w:lineRule="auto" w:line="240" w:before="0" w:after="0"/>
              <w:rPr>
                <w:rFonts w:ascii="Times New Roman" w:hAnsi="Times New Roman" w:eastAsia="Times New Roman" w:cs="Times New Roman"/>
                <w:b/>
                <w:i/>
                <w:sz w:val="26"/>
                <w:szCs w:val="26"/>
                <w:lang w:val="uk-UA" w:eastAsia="ru-RU"/>
              </w:rPr>
            </w:pPr>
            <w:r>
              <w:rPr>
                <w:rFonts w:eastAsia="Times New Roman" w:cs="Times New Roman" w:ascii="Times New Roman" w:hAnsi="Times New Roman"/>
                <w:b/>
                <w:i/>
                <w:sz w:val="26"/>
                <w:szCs w:val="26"/>
                <w:lang w:val="uk-UA" w:eastAsia="ru-RU"/>
              </w:rPr>
              <w:t>Найменування Замовника</w:t>
            </w:r>
          </w:p>
        </w:tc>
        <w:tc>
          <w:tcPr>
            <w:tcW w:w="6973" w:type="dxa"/>
            <w:tcBorders/>
          </w:tcPr>
          <w:p>
            <w:pPr>
              <w:pStyle w:val="Normal"/>
              <w:suppressAutoHyphens w:val="true"/>
              <w:spacing w:lineRule="auto" w:line="240" w:before="0" w:after="0"/>
              <w:rPr>
                <w:rFonts w:ascii="Times New Roman" w:hAnsi="Times New Roman" w:eastAsia="Times New Roman" w:cs="Times New Roman"/>
                <w:i/>
                <w:sz w:val="26"/>
                <w:szCs w:val="26"/>
                <w:lang w:val="uk-UA" w:eastAsia="ru-RU"/>
              </w:rPr>
            </w:pPr>
            <w:r>
              <w:rPr>
                <w:rFonts w:eastAsia="Times New Roman" w:cs="Times New Roman" w:ascii="Times New Roman" w:hAnsi="Times New Roman"/>
                <w:i/>
                <w:sz w:val="26"/>
                <w:szCs w:val="26"/>
                <w:lang w:val="uk-UA" w:eastAsia="ru-RU"/>
              </w:rPr>
              <w:t>Північний міжрегіональний центр з надання безоплатної правничої допомоги</w:t>
            </w:r>
          </w:p>
        </w:tc>
      </w:tr>
      <w:tr>
        <w:trPr/>
        <w:tc>
          <w:tcPr>
            <w:tcW w:w="2603" w:type="dxa"/>
            <w:tcBorders/>
          </w:tcPr>
          <w:p>
            <w:pPr>
              <w:pStyle w:val="Normal"/>
              <w:suppressAutoHyphens w:val="true"/>
              <w:spacing w:lineRule="auto" w:line="240" w:before="0" w:after="0"/>
              <w:rPr>
                <w:rFonts w:ascii="Times New Roman" w:hAnsi="Times New Roman" w:eastAsia="Times New Roman" w:cs="Times New Roman"/>
                <w:b/>
                <w:i/>
                <w:sz w:val="26"/>
                <w:szCs w:val="26"/>
                <w:lang w:val="uk-UA" w:eastAsia="ru-RU"/>
              </w:rPr>
            </w:pPr>
            <w:r>
              <w:rPr>
                <w:rFonts w:eastAsia="Times New Roman" w:cs="Times New Roman" w:ascii="Times New Roman" w:hAnsi="Times New Roman"/>
                <w:b/>
                <w:i/>
                <w:sz w:val="26"/>
                <w:szCs w:val="26"/>
                <w:lang w:val="uk-UA" w:eastAsia="ru-RU"/>
              </w:rPr>
              <w:t>ЄДРПОУ Замовника</w:t>
            </w:r>
          </w:p>
        </w:tc>
        <w:tc>
          <w:tcPr>
            <w:tcW w:w="6973" w:type="dxa"/>
            <w:tcBorders/>
          </w:tcPr>
          <w:p>
            <w:pPr>
              <w:pStyle w:val="Normal"/>
              <w:suppressAutoHyphens w:val="true"/>
              <w:spacing w:lineRule="auto" w:line="240" w:before="0" w:after="0"/>
              <w:rPr>
                <w:rFonts w:ascii="Times New Roman" w:hAnsi="Times New Roman" w:eastAsia="Times New Roman" w:cs="Times New Roman"/>
                <w:i/>
                <w:sz w:val="26"/>
                <w:szCs w:val="26"/>
                <w:lang w:val="uk-UA" w:eastAsia="ru-RU"/>
              </w:rPr>
            </w:pPr>
            <w:r>
              <w:rPr>
                <w:rFonts w:eastAsia="Times New Roman" w:cs="Times New Roman" w:ascii="Times New Roman" w:hAnsi="Times New Roman"/>
                <w:i/>
                <w:sz w:val="26"/>
                <w:szCs w:val="26"/>
                <w:lang w:val="uk-UA" w:eastAsia="ru-RU"/>
              </w:rPr>
              <w:t>39776588</w:t>
            </w:r>
          </w:p>
        </w:tc>
      </w:tr>
      <w:tr>
        <w:trPr/>
        <w:tc>
          <w:tcPr>
            <w:tcW w:w="2603" w:type="dxa"/>
            <w:tcBorders/>
          </w:tcPr>
          <w:p>
            <w:pPr>
              <w:pStyle w:val="Normal"/>
              <w:suppressAutoHyphens w:val="true"/>
              <w:spacing w:lineRule="auto" w:line="240" w:before="0" w:after="0"/>
              <w:rPr>
                <w:rFonts w:ascii="Times New Roman" w:hAnsi="Times New Roman" w:eastAsia="Times New Roman" w:cs="Times New Roman"/>
                <w:b/>
                <w:i/>
                <w:sz w:val="26"/>
                <w:szCs w:val="26"/>
                <w:lang w:val="uk-UA" w:eastAsia="ru-RU"/>
              </w:rPr>
            </w:pPr>
            <w:r>
              <w:rPr>
                <w:rFonts w:eastAsia="Times New Roman" w:cs="Times New Roman" w:ascii="Times New Roman" w:hAnsi="Times New Roman"/>
                <w:b/>
                <w:i/>
                <w:sz w:val="26"/>
                <w:szCs w:val="26"/>
                <w:lang w:val="uk-UA" w:eastAsia="ru-RU"/>
              </w:rPr>
              <w:t>Місцезнаходження Замовника</w:t>
            </w:r>
          </w:p>
        </w:tc>
        <w:tc>
          <w:tcPr>
            <w:tcW w:w="6973" w:type="dxa"/>
            <w:tcBorders/>
          </w:tcPr>
          <w:p>
            <w:pPr>
              <w:pStyle w:val="Normal"/>
              <w:suppressAutoHyphens w:val="true"/>
              <w:spacing w:lineRule="auto" w:line="240" w:before="0" w:after="0"/>
              <w:rPr>
                <w:rFonts w:ascii="Times New Roman" w:hAnsi="Times New Roman" w:eastAsia="Times New Roman" w:cs="Times New Roman"/>
                <w:i/>
                <w:sz w:val="26"/>
                <w:szCs w:val="26"/>
                <w:lang w:val="uk-UA" w:eastAsia="ru-RU"/>
              </w:rPr>
            </w:pPr>
            <w:r>
              <w:rPr>
                <w:rFonts w:eastAsia="Times New Roman" w:cs="Times New Roman" w:ascii="Times New Roman" w:hAnsi="Times New Roman"/>
                <w:i/>
                <w:sz w:val="26"/>
                <w:szCs w:val="26"/>
                <w:lang w:val="uk-UA" w:eastAsia="ru-RU"/>
              </w:rPr>
              <w:t>03087, м. Київ, вул. Єреванська, 32</w:t>
            </w:r>
          </w:p>
        </w:tc>
      </w:tr>
      <w:tr>
        <w:trPr/>
        <w:tc>
          <w:tcPr>
            <w:tcW w:w="2603" w:type="dxa"/>
            <w:tcBorders/>
          </w:tcPr>
          <w:p>
            <w:pPr>
              <w:pStyle w:val="Normal"/>
              <w:suppressAutoHyphens w:val="true"/>
              <w:spacing w:lineRule="auto" w:line="240" w:before="0" w:after="0"/>
              <w:rPr>
                <w:rFonts w:ascii="Times New Roman" w:hAnsi="Times New Roman" w:eastAsia="Times New Roman" w:cs="Times New Roman"/>
                <w:b/>
                <w:i/>
                <w:sz w:val="26"/>
                <w:szCs w:val="26"/>
                <w:lang w:val="uk-UA" w:eastAsia="ru-RU"/>
              </w:rPr>
            </w:pPr>
            <w:r>
              <w:rPr>
                <w:rFonts w:eastAsia="Times New Roman" w:cs="Times New Roman" w:ascii="Times New Roman" w:hAnsi="Times New Roman"/>
                <w:b/>
                <w:i/>
                <w:sz w:val="26"/>
                <w:szCs w:val="26"/>
                <w:lang w:val="uk-UA" w:eastAsia="ru-RU"/>
              </w:rPr>
              <w:t>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(лотів) (за наявності)</w:t>
            </w:r>
          </w:p>
        </w:tc>
        <w:tc>
          <w:tcPr>
            <w:tcW w:w="6973" w:type="dxa"/>
            <w:tcBorders/>
          </w:tcPr>
          <w:p>
            <w:pPr>
              <w:pStyle w:val="Normal"/>
              <w:tabs>
                <w:tab w:val="clear" w:pos="708"/>
                <w:tab w:val="left" w:pos="9071" w:leader="none"/>
              </w:tabs>
              <w:suppressAutoHyphens w:val="true"/>
              <w:spacing w:lineRule="auto" w:line="240" w:before="0" w:after="0"/>
              <w:jc w:val="both"/>
              <w:rPr>
                <w:rFonts w:ascii="Times New Roman" w:hAnsi="Times New Roman"/>
                <w:sz w:val="28"/>
                <w:szCs w:val="28"/>
                <w:lang w:val="ru-RU"/>
              </w:rPr>
            </w:pPr>
            <w:r>
              <w:rPr>
                <w:rFonts w:eastAsia="Times New Roman" w:cs="Times New Roman" w:ascii="Times New Roman" w:hAnsi="Times New Roman"/>
                <w:b w:val="false"/>
                <w:bCs w:val="false"/>
                <w:i/>
                <w:sz w:val="28"/>
                <w:szCs w:val="28"/>
                <w:u w:val="none"/>
                <w:lang w:val="uk-UA" w:eastAsia="ru-RU"/>
              </w:rPr>
              <w:t>Електронні комунікаційні послуги доступу до мережі інтернет</w:t>
            </w:r>
          </w:p>
          <w:p>
            <w:pPr>
              <w:pStyle w:val="Normal"/>
              <w:suppressAutoHyphens w:val="true"/>
              <w:spacing w:lineRule="auto" w:line="240" w:before="0" w:after="0"/>
              <w:rPr>
                <w:rFonts w:ascii="Times New Roman" w:hAnsi="Times New Roman" w:eastAsia="Times New Roman" w:cs="Times New Roman"/>
                <w:i/>
                <w:sz w:val="26"/>
                <w:szCs w:val="26"/>
                <w:lang w:val="uk-UA" w:eastAsia="ru-RU"/>
              </w:rPr>
            </w:pPr>
            <w:r>
              <w:rPr>
                <w:rFonts w:eastAsia="Times New Roman" w:cs="Times New Roman" w:ascii="Times New Roman" w:hAnsi="Times New Roman"/>
                <w:i/>
                <w:sz w:val="26"/>
                <w:szCs w:val="26"/>
                <w:lang w:val="uk-UA" w:eastAsia="ru-RU"/>
              </w:rPr>
              <w:t>Код (ДК 021:2015: 72410000-7 Послуги провайдерів)</w:t>
            </w:r>
          </w:p>
        </w:tc>
      </w:tr>
      <w:tr>
        <w:trPr/>
        <w:tc>
          <w:tcPr>
            <w:tcW w:w="2603" w:type="dxa"/>
            <w:tcBorders/>
          </w:tcPr>
          <w:p>
            <w:pPr>
              <w:pStyle w:val="Normal"/>
              <w:suppressAutoHyphens w:val="true"/>
              <w:spacing w:lineRule="auto" w:line="240" w:before="0" w:after="0"/>
              <w:rPr>
                <w:rFonts w:ascii="Times New Roman" w:hAnsi="Times New Roman"/>
              </w:rPr>
            </w:pPr>
            <w:r>
              <w:rPr>
                <w:rFonts w:eastAsia="Times New Roman" w:cs="Times New Roman" w:ascii="Times New Roman" w:hAnsi="Times New Roman"/>
                <w:b/>
                <w:i/>
                <w:sz w:val="26"/>
                <w:szCs w:val="26"/>
                <w:lang w:val="uk-UA" w:eastAsia="ru-RU"/>
              </w:rPr>
              <w:t>Вид та ідентифікатор закупівлі:</w:t>
            </w:r>
          </w:p>
        </w:tc>
        <w:tc>
          <w:tcPr>
            <w:tcW w:w="6973" w:type="dxa"/>
            <w:tcBorders/>
          </w:tcPr>
          <w:p>
            <w:pPr>
              <w:pStyle w:val="Normal"/>
              <w:suppressAutoHyphens w:val="true"/>
              <w:spacing w:lineRule="auto" w:line="240" w:before="0" w:after="0"/>
              <w:rPr>
                <w:rFonts w:ascii="Times New Roman" w:hAnsi="Times New Roman"/>
              </w:rPr>
            </w:pPr>
            <w:r>
              <w:rPr>
                <w:rFonts w:eastAsia="Times New Roman" w:cs="Times New Roman" w:ascii="Times New Roman" w:hAnsi="Times New Roman"/>
                <w:i/>
                <w:sz w:val="26"/>
                <w:szCs w:val="26"/>
                <w:lang w:val="uk-UA" w:eastAsia="ru-RU"/>
              </w:rPr>
              <w:t>Відкриті торги з особливостями</w:t>
            </w:r>
          </w:p>
          <w:p>
            <w:pPr>
              <w:pStyle w:val="Normal"/>
              <w:suppressAutoHyphens w:val="true"/>
              <w:spacing w:lineRule="auto" w:line="240" w:before="0" w:after="0"/>
              <w:rPr>
                <w:rFonts w:ascii="Times New Roman" w:hAnsi="Times New Roman" w:eastAsia="Times New Roman" w:cs="Times New Roman"/>
                <w:b w:val="false"/>
                <w:i/>
                <w:iCs/>
                <w:caps w:val="false"/>
                <w:smallCaps w:val="false"/>
                <w:color w:val="333333"/>
                <w:spacing w:val="0"/>
                <w:sz w:val="24"/>
                <w:szCs w:val="24"/>
                <w:lang w:val="uk-UA" w:eastAsia="ru-RU"/>
              </w:rPr>
            </w:pPr>
            <w:r>
              <w:rPr>
                <w:rFonts w:eastAsia="Times New Roman" w:cs="Times New Roman" w:ascii="Times New Roman" w:hAnsi="Times New Roman"/>
                <w:b w:val="false"/>
                <w:i/>
                <w:iCs/>
                <w:caps w:val="false"/>
                <w:smallCaps w:val="false"/>
                <w:color w:val="333333"/>
                <w:spacing w:val="0"/>
                <w:sz w:val="24"/>
                <w:szCs w:val="24"/>
                <w:lang w:val="uk-UA" w:eastAsia="ru-RU"/>
              </w:rPr>
              <w:t>UA-2026-02-07-000856-a</w:t>
            </w:r>
          </w:p>
        </w:tc>
      </w:tr>
      <w:tr>
        <w:trPr/>
        <w:tc>
          <w:tcPr>
            <w:tcW w:w="2603" w:type="dxa"/>
            <w:tcBorders/>
          </w:tcPr>
          <w:p>
            <w:pPr>
              <w:pStyle w:val="Normal"/>
              <w:suppressAutoHyphens w:val="true"/>
              <w:spacing w:lineRule="auto" w:line="240" w:before="0" w:after="0"/>
              <w:rPr>
                <w:rFonts w:ascii="Times New Roman" w:hAnsi="Times New Roman" w:eastAsia="Times New Roman" w:cs="Times New Roman"/>
                <w:b/>
                <w:i/>
                <w:sz w:val="26"/>
                <w:szCs w:val="26"/>
                <w:lang w:val="uk-UA" w:eastAsia="ru-RU"/>
              </w:rPr>
            </w:pPr>
            <w:r>
              <w:rPr>
                <w:rFonts w:eastAsia="Times New Roman" w:cs="Times New Roman" w:ascii="Times New Roman" w:hAnsi="Times New Roman"/>
                <w:b/>
                <w:i/>
                <w:sz w:val="26"/>
                <w:szCs w:val="26"/>
                <w:lang w:val="uk-UA" w:eastAsia="ru-RU"/>
              </w:rPr>
              <w:t>Очікувана вартість закупівлі</w:t>
            </w:r>
          </w:p>
        </w:tc>
        <w:tc>
          <w:tcPr>
            <w:tcW w:w="6973" w:type="dxa"/>
            <w:tcBorders/>
          </w:tcPr>
          <w:p>
            <w:pPr>
              <w:pStyle w:val="Normal"/>
              <w:suppressAutoHyphens w:val="true"/>
              <w:spacing w:lineRule="auto" w:line="240" w:before="0" w:after="0"/>
              <w:rPr>
                <w:rFonts w:ascii="Times New Roman" w:hAnsi="Times New Roman" w:eastAsia="Times New Roman" w:cs="Times New Roman"/>
                <w:i/>
                <w:sz w:val="26"/>
                <w:szCs w:val="26"/>
                <w:lang w:val="uk-UA" w:eastAsia="ru-RU"/>
              </w:rPr>
            </w:pPr>
            <w:r>
              <w:rPr>
                <w:rFonts w:eastAsia="Times New Roman" w:cs="Times New Roman" w:ascii="Times New Roman" w:hAnsi="Times New Roman"/>
                <w:i/>
                <w:sz w:val="26"/>
                <w:szCs w:val="26"/>
                <w:lang w:val="en-US" w:eastAsia="ru-RU"/>
              </w:rPr>
              <w:t>1 096 450,00 (</w:t>
            </w:r>
            <w:r>
              <w:rPr>
                <w:rFonts w:eastAsia="Times New Roman" w:cs="Times New Roman" w:ascii="Times New Roman" w:hAnsi="Times New Roman"/>
                <w:i/>
                <w:sz w:val="26"/>
                <w:szCs w:val="26"/>
                <w:lang w:val="uk-UA" w:eastAsia="ru-RU"/>
              </w:rPr>
              <w:t>один мільйон дев’яносто шість тисяч чотириста п’ятдесят гривень 00 копійок) з ПДВ</w:t>
            </w:r>
          </w:p>
        </w:tc>
      </w:tr>
      <w:tr>
        <w:trPr/>
        <w:tc>
          <w:tcPr>
            <w:tcW w:w="2603" w:type="dxa"/>
            <w:tcBorders/>
          </w:tcPr>
          <w:p>
            <w:pPr>
              <w:pStyle w:val="Normal"/>
              <w:suppressAutoHyphens w:val="true"/>
              <w:spacing w:lineRule="auto" w:line="240" w:before="0" w:after="0"/>
              <w:rPr>
                <w:rFonts w:ascii="Times New Roman" w:hAnsi="Times New Roman" w:eastAsia="Times New Roman" w:cs="Times New Roman"/>
                <w:b/>
                <w:i/>
                <w:sz w:val="26"/>
                <w:szCs w:val="26"/>
                <w:lang w:val="uk-UA" w:eastAsia="ru-RU"/>
              </w:rPr>
            </w:pPr>
            <w:r>
              <w:rPr>
                <w:rFonts w:eastAsia="Times New Roman" w:cs="Times New Roman" w:ascii="Times New Roman" w:hAnsi="Times New Roman"/>
                <w:b/>
                <w:i/>
                <w:sz w:val="26"/>
                <w:szCs w:val="26"/>
                <w:lang w:val="uk-UA" w:eastAsia="ru-RU"/>
              </w:rPr>
              <w:t>Обгрунтування очікуваної вартості закупівлі</w:t>
            </w:r>
          </w:p>
        </w:tc>
        <w:tc>
          <w:tcPr>
            <w:tcW w:w="6973" w:type="dxa"/>
            <w:tcBorders/>
          </w:tcPr>
          <w:p>
            <w:pPr>
              <w:pStyle w:val="ListParagraph"/>
              <w:shd w:val="clear" w:color="auto" w:fill="FFFFFF"/>
              <w:suppressAutoHyphens w:val="true"/>
              <w:spacing w:lineRule="auto" w:line="240" w:before="0" w:after="0"/>
              <w:ind w:hanging="0" w:start="0"/>
              <w:contextualSpacing/>
              <w:jc w:val="both"/>
              <w:rPr>
                <w:rFonts w:ascii="Times New Roman" w:hAnsi="Times New Roman" w:eastAsia="Times New Roman" w:cs="Times New Roman"/>
                <w:i/>
                <w:sz w:val="25"/>
                <w:szCs w:val="25"/>
                <w:lang w:val="uk-UA" w:eastAsia="ru-RU"/>
              </w:rPr>
            </w:pPr>
            <w:r>
              <w:rPr>
                <w:rFonts w:eastAsia="Times New Roman" w:cs="Times New Roman" w:ascii="Times New Roman" w:hAnsi="Times New Roman"/>
                <w:i/>
                <w:sz w:val="25"/>
                <w:szCs w:val="25"/>
                <w:lang w:val="uk-UA" w:eastAsia="ru-RU"/>
              </w:rPr>
              <w:t xml:space="preserve"> </w:t>
            </w:r>
            <w:r>
              <w:rPr>
                <w:rFonts w:eastAsia="Times New Roman" w:cs="Times New Roman" w:ascii="Times New Roman" w:hAnsi="Times New Roman"/>
                <w:i/>
                <w:sz w:val="25"/>
                <w:szCs w:val="25"/>
                <w:lang w:val="uk-UA" w:eastAsia="ru-RU"/>
              </w:rPr>
              <w:t>Визначення очікуваної вартості предмета закупівлі здійснювалося з використанням методів і способів, передбачених Примірною методикою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змінами) за посиланням</w:t>
            </w:r>
            <w:r>
              <w:rPr>
                <w:rFonts w:eastAsia="Times New Roman" w:cs="Times New Roman" w:ascii="Times New Roman" w:hAnsi="Times New Roman"/>
                <w:i/>
                <w:sz w:val="25"/>
                <w:szCs w:val="25"/>
                <w:lang w:eastAsia="ru-RU"/>
              </w:rPr>
              <w:t> </w:t>
            </w:r>
            <w:r>
              <w:fldChar w:fldCharType="begin"/>
            </w:r>
            <w:r>
              <w:rPr>
                <w:rStyle w:val="Hyperlink"/>
                <w:rFonts w:eastAsia="Times New Roman" w:cs="Times New Roman" w:ascii="Times New Roman" w:hAnsi="Times New Roman"/>
                <w:i/>
                <w:sz w:val="25"/>
                <w:szCs w:val="25"/>
                <w:lang w:val="uk-UA" w:eastAsia="ru-RU"/>
              </w:rPr>
              <w:instrText xml:space="preserve"> HYPERLINK "https://zakon.rada.gov.ua/rada/show/v0275915-20" \l "Text"</w:instrText>
            </w:r>
            <w:r>
              <w:rPr>
                <w:rStyle w:val="Hyperlink"/>
                <w:rFonts w:eastAsia="Times New Roman" w:cs="Times New Roman" w:ascii="Times New Roman" w:hAnsi="Times New Roman"/>
                <w:i/>
                <w:sz w:val="25"/>
                <w:szCs w:val="25"/>
                <w:lang w:val="uk-UA" w:eastAsia="ru-RU"/>
              </w:rPr>
              <w:fldChar w:fldCharType="separate"/>
            </w:r>
            <w:r>
              <w:rPr>
                <w:rStyle w:val="Hyperlink"/>
                <w:rFonts w:eastAsia="Times New Roman" w:cs="Times New Roman" w:ascii="Times New Roman" w:hAnsi="Times New Roman"/>
                <w:i/>
                <w:sz w:val="25"/>
                <w:szCs w:val="25"/>
                <w:lang w:val="uk-UA" w:eastAsia="ru-RU"/>
              </w:rPr>
              <w:t>https://zakon.rada.gov.ua/rada/show/v0275915-20#Text</w:t>
            </w:r>
            <w:r>
              <w:rPr>
                <w:rStyle w:val="Hyperlink"/>
                <w:rFonts w:eastAsia="Times New Roman" w:cs="Times New Roman" w:ascii="Times New Roman" w:hAnsi="Times New Roman"/>
                <w:i/>
                <w:sz w:val="25"/>
                <w:szCs w:val="25"/>
                <w:lang w:val="uk-UA" w:eastAsia="ru-RU"/>
              </w:rPr>
              <w:fldChar w:fldCharType="end"/>
            </w:r>
          </w:p>
          <w:p>
            <w:pPr>
              <w:pStyle w:val="ListParagraph"/>
              <w:shd w:val="clear" w:color="auto" w:fill="FFFFFF"/>
              <w:suppressAutoHyphens w:val="true"/>
              <w:spacing w:lineRule="auto" w:line="240" w:before="0" w:after="0"/>
              <w:ind w:hanging="0" w:start="0"/>
              <w:contextualSpacing/>
              <w:jc w:val="both"/>
              <w:rPr>
                <w:rFonts w:ascii="Times New Roman" w:hAnsi="Times New Roman" w:eastAsia="Times New Roman" w:cs="Times New Roman"/>
                <w:i/>
                <w:sz w:val="25"/>
                <w:szCs w:val="25"/>
                <w:lang w:val="uk-UA" w:eastAsia="ru-RU"/>
              </w:rPr>
            </w:pPr>
            <w:r>
              <w:rPr>
                <w:rFonts w:eastAsia="Times New Roman" w:cs="Times New Roman" w:ascii="Times New Roman" w:hAnsi="Times New Roman"/>
                <w:b w:val="false"/>
                <w:i/>
                <w:iCs/>
                <w:caps w:val="false"/>
                <w:smallCaps w:val="false"/>
                <w:color w:val="333333"/>
                <w:spacing w:val="0"/>
                <w:sz w:val="25"/>
                <w:szCs w:val="25"/>
                <w:lang w:val="uk-UA" w:eastAsia="ru-RU"/>
              </w:rPr>
              <w:t xml:space="preserve"> </w:t>
            </w:r>
            <w:r>
              <w:rPr>
                <w:rFonts w:ascii="Times New Roman" w:hAnsi="Times New Roman"/>
                <w:b w:val="false"/>
                <w:i/>
                <w:iCs/>
                <w:caps w:val="false"/>
                <w:smallCaps w:val="false"/>
                <w:color w:val="333333"/>
                <w:spacing w:val="0"/>
                <w:sz w:val="26"/>
                <w:szCs w:val="26"/>
              </w:rPr>
              <w:t>Очікувана вартість закупівлі електронних комунікаційних послуг доступу до мережі інтернет була розрахована методом порівняння ринкових цін, здійснення пошуку, збору та аналізу загальнодоступної інформації. В ході аналізу, була здійснена комунікація в телефонному режимі з постачальниками надання послуг щодо уточнення даних, що знаходяться на веб-порталах. Постачальниками було надано актуальну інформацію щодо вартості відповідних послуг на 2026 рік. Після отримання від постачальників інформації щодо вартості послуг цінових пропозицій, було визначено очікувану ціну за одиницю послуги доступу до мережі інтернет, як середньоарифметичне значення, за формулою:</w:t>
            </w:r>
          </w:p>
          <w:p>
            <w:pPr>
              <w:pStyle w:val="ListParagraph"/>
              <w:shd w:val="clear" w:color="auto" w:fill="FFFFFF"/>
              <w:suppressAutoHyphens w:val="true"/>
              <w:spacing w:lineRule="auto" w:line="240" w:before="0" w:after="0"/>
              <w:ind w:hanging="0" w:start="0"/>
              <w:contextualSpacing/>
              <w:jc w:val="both"/>
              <w:rPr>
                <w:rFonts w:ascii="Times New Roman" w:hAnsi="Times New Roman" w:eastAsia="Times New Roman" w:cs="Times New Roman"/>
                <w:i/>
                <w:sz w:val="25"/>
                <w:szCs w:val="25"/>
                <w:lang w:val="uk-UA" w:eastAsia="ru-RU"/>
              </w:rPr>
            </w:pPr>
            <w:r>
              <w:rPr>
                <w:rFonts w:ascii="Times New Roman" w:hAnsi="Times New Roman"/>
                <w:b w:val="false"/>
                <w:i/>
                <w:iCs/>
                <w:caps w:val="false"/>
                <w:smallCaps w:val="false"/>
                <w:color w:val="333333"/>
                <w:spacing w:val="0"/>
                <w:sz w:val="26"/>
                <w:szCs w:val="26"/>
              </w:rPr>
              <w:t>Ц од за рік = (Ц1 +… + Цк)/К,</w:t>
            </w:r>
          </w:p>
          <w:p>
            <w:pPr>
              <w:pStyle w:val="ListParagraph"/>
              <w:shd w:val="clear" w:color="auto" w:fill="FFFFFF"/>
              <w:suppressAutoHyphens w:val="true"/>
              <w:spacing w:lineRule="auto" w:line="240" w:before="0" w:after="0"/>
              <w:ind w:hanging="0" w:start="0"/>
              <w:contextualSpacing/>
              <w:jc w:val="both"/>
              <w:rPr>
                <w:rFonts w:ascii="Times New Roman" w:hAnsi="Times New Roman" w:eastAsia="Times New Roman" w:cs="Times New Roman"/>
                <w:i/>
                <w:sz w:val="25"/>
                <w:szCs w:val="25"/>
                <w:lang w:val="uk-UA" w:eastAsia="ru-RU"/>
              </w:rPr>
            </w:pPr>
            <w:r>
              <w:rPr>
                <w:rFonts w:ascii="Times New Roman" w:hAnsi="Times New Roman"/>
                <w:b w:val="false"/>
                <w:i/>
                <w:iCs/>
                <w:caps w:val="false"/>
                <w:smallCaps w:val="false"/>
                <w:color w:val="333333"/>
                <w:spacing w:val="0"/>
                <w:sz w:val="26"/>
                <w:szCs w:val="26"/>
              </w:rPr>
              <w:t>де: Ц од -очікувана ціна за одиницю;</w:t>
            </w:r>
          </w:p>
          <w:p>
            <w:pPr>
              <w:pStyle w:val="ListParagraph"/>
              <w:shd w:val="clear" w:color="auto" w:fill="FFFFFF"/>
              <w:suppressAutoHyphens w:val="true"/>
              <w:spacing w:lineRule="auto" w:line="240" w:before="0" w:after="0"/>
              <w:ind w:hanging="0" w:start="0"/>
              <w:contextualSpacing/>
              <w:jc w:val="both"/>
              <w:rPr>
                <w:rFonts w:ascii="Times New Roman" w:hAnsi="Times New Roman" w:eastAsia="Times New Roman" w:cs="Times New Roman"/>
                <w:i/>
                <w:sz w:val="25"/>
                <w:szCs w:val="25"/>
                <w:lang w:val="uk-UA" w:eastAsia="ru-RU"/>
              </w:rPr>
            </w:pPr>
            <w:r>
              <w:rPr>
                <w:rFonts w:ascii="Times New Roman" w:hAnsi="Times New Roman"/>
                <w:b w:val="false"/>
                <w:i/>
                <w:iCs/>
                <w:caps w:val="false"/>
                <w:smallCaps w:val="false"/>
                <w:color w:val="333333"/>
                <w:spacing w:val="0"/>
                <w:sz w:val="26"/>
                <w:szCs w:val="26"/>
              </w:rPr>
              <w:t>Ц1, Ц к - ціни, отримані з відкритих джерел інформації, приведені до єдиних умов;</w:t>
            </w:r>
          </w:p>
          <w:p>
            <w:pPr>
              <w:pStyle w:val="ListParagraph"/>
              <w:shd w:val="clear" w:color="auto" w:fill="FFFFFF"/>
              <w:suppressAutoHyphens w:val="true"/>
              <w:spacing w:lineRule="auto" w:line="240" w:before="0" w:after="0"/>
              <w:ind w:hanging="0" w:start="0"/>
              <w:contextualSpacing/>
              <w:jc w:val="both"/>
              <w:rPr>
                <w:rFonts w:ascii="Times New Roman" w:hAnsi="Times New Roman" w:eastAsia="Times New Roman" w:cs="Times New Roman"/>
                <w:i/>
                <w:sz w:val="25"/>
                <w:szCs w:val="25"/>
                <w:lang w:val="uk-UA" w:eastAsia="ru-RU"/>
              </w:rPr>
            </w:pPr>
            <w:r>
              <w:rPr>
                <w:rFonts w:ascii="Times New Roman" w:hAnsi="Times New Roman"/>
                <w:b w:val="false"/>
                <w:i/>
                <w:iCs/>
                <w:caps w:val="false"/>
                <w:smallCaps w:val="false"/>
                <w:color w:val="333333"/>
                <w:spacing w:val="0"/>
                <w:sz w:val="26"/>
                <w:szCs w:val="26"/>
              </w:rPr>
              <w:t>К - кількість цін, отриманих з відкритих джерел інформації.</w:t>
            </w:r>
          </w:p>
        </w:tc>
      </w:tr>
      <w:tr>
        <w:trPr>
          <w:trHeight w:val="10716" w:hRule="atLeast"/>
        </w:trPr>
        <w:tc>
          <w:tcPr>
            <w:tcW w:w="2603" w:type="dxa"/>
            <w:tcBorders/>
          </w:tcPr>
          <w:p>
            <w:pPr>
              <w:pStyle w:val="Normal"/>
              <w:suppressAutoHyphens w:val="true"/>
              <w:spacing w:lineRule="auto" w:line="240" w:before="0" w:after="0"/>
              <w:rPr>
                <w:rFonts w:ascii="Times New Roman" w:hAnsi="Times New Roman" w:eastAsia="Times New Roman" w:cs="Times New Roman"/>
                <w:b/>
                <w:i/>
                <w:sz w:val="26"/>
                <w:szCs w:val="26"/>
                <w:lang w:val="uk-UA" w:eastAsia="ru-RU"/>
              </w:rPr>
            </w:pPr>
            <w:r>
              <w:rPr>
                <w:rFonts w:eastAsia="Times New Roman" w:cs="Times New Roman" w:ascii="Times New Roman" w:hAnsi="Times New Roman"/>
                <w:b/>
                <w:i/>
                <w:sz w:val="26"/>
                <w:szCs w:val="26"/>
                <w:lang w:val="uk-UA" w:eastAsia="ru-RU"/>
              </w:rPr>
              <w:t>Обгрунтування технічних та якісних характеристик предмета закупівлі</w:t>
            </w:r>
          </w:p>
        </w:tc>
        <w:tc>
          <w:tcPr>
            <w:tcW w:w="6973" w:type="dxa"/>
            <w:tcBorders/>
          </w:tcPr>
          <w:p>
            <w:pPr>
              <w:pStyle w:val="Normal"/>
              <w:suppressAutoHyphens w:val="true"/>
              <w:spacing w:lineRule="auto" w:line="240" w:before="0" w:after="0"/>
              <w:jc w:val="both"/>
              <w:rPr>
                <w:rFonts w:ascii="Times New Roman" w:hAnsi="Times New Roman" w:eastAsia="Times New Roman" w:cs="Times New Roman"/>
                <w:i/>
                <w:sz w:val="26"/>
                <w:szCs w:val="26"/>
                <w:lang w:val="uk-UA" w:eastAsia="ru-RU"/>
              </w:rPr>
            </w:pPr>
            <w:r>
              <w:rPr>
                <w:rFonts w:eastAsia="Times New Roman" w:cs="Times New Roman" w:ascii="Times New Roman" w:hAnsi="Times New Roman"/>
                <w:i/>
                <w:sz w:val="26"/>
                <w:szCs w:val="26"/>
                <w:lang w:val="uk-UA" w:eastAsia="ru-RU"/>
              </w:rPr>
              <w:t>Закупівля послуг з надання доступу до мережі Інтернет з даними технічними та якісними характеристиками обгрунтована наявнимою потребою Замовника з огляду на характеристики визначені у службовій записці з урахуванням вимог нормативних документів, що забезпечують цілодобове надання у користування та доступу до глобальної мережі Інтернет.</w:t>
            </w:r>
          </w:p>
          <w:p>
            <w:pPr>
              <w:pStyle w:val="Normal"/>
              <w:suppressAutoHyphens w:val="true"/>
              <w:spacing w:lineRule="auto" w:line="240" w:before="0" w:after="0"/>
              <w:jc w:val="both"/>
              <w:rPr>
                <w:rFonts w:ascii="Times New Roman" w:hAnsi="Times New Roman" w:eastAsia="Times New Roman" w:cs="Times New Roman"/>
                <w:i/>
                <w:sz w:val="26"/>
                <w:szCs w:val="26"/>
                <w:lang w:val="uk-UA" w:eastAsia="ru-RU"/>
              </w:rPr>
            </w:pPr>
            <w:r>
              <w:rPr>
                <w:rFonts w:eastAsia="Times New Roman" w:cs="Times New Roman" w:ascii="Times New Roman" w:hAnsi="Times New Roman"/>
                <w:i/>
                <w:sz w:val="26"/>
                <w:szCs w:val="26"/>
                <w:lang w:val="uk-UA" w:eastAsia="ru-RU"/>
              </w:rPr>
              <w:t>Кількість послуг — 1 послуга (11 місяців).</w:t>
            </w:r>
          </w:p>
          <w:p>
            <w:pPr>
              <w:pStyle w:val="Normal"/>
              <w:suppressAutoHyphens w:val="true"/>
              <w:spacing w:lineRule="auto" w:line="240" w:before="0" w:after="0"/>
              <w:jc w:val="both"/>
              <w:rPr>
                <w:rFonts w:ascii="Times New Roman" w:hAnsi="Times New Roman" w:eastAsia="Times New Roman" w:cs="Times New Roman"/>
                <w:i/>
                <w:sz w:val="26"/>
                <w:szCs w:val="26"/>
                <w:lang w:val="uk-UA" w:eastAsia="ru-RU"/>
              </w:rPr>
            </w:pPr>
            <w:r>
              <w:rPr>
                <w:rFonts w:eastAsia="Times New Roman" w:cs="Times New Roman" w:ascii="Times New Roman" w:hAnsi="Times New Roman"/>
                <w:i/>
                <w:sz w:val="26"/>
                <w:szCs w:val="26"/>
                <w:lang w:val="uk-UA" w:eastAsia="ru-RU"/>
              </w:rPr>
              <w:t>Адреси підключення — 89 . Використання обладнання — 157 шт., Одноразові підключення/перенесення — 10 послуг.</w:t>
            </w:r>
          </w:p>
          <w:p>
            <w:pPr>
              <w:pStyle w:val="2"/>
              <w:tabs>
                <w:tab w:val="clear" w:pos="708"/>
                <w:tab w:val="left" w:pos="851" w:leader="none"/>
              </w:tabs>
              <w:ind w:start="0"/>
              <w:jc w:val="both"/>
              <w:rPr>
                <w:rFonts w:eastAsia="Arial Unicode MS"/>
                <w:b w:val="false"/>
                <w:sz w:val="24"/>
                <w:szCs w:val="24"/>
              </w:rPr>
            </w:pPr>
            <w:r>
              <w:rPr>
                <w:rFonts w:eastAsia="Arial Unicode MS"/>
                <w:b w:val="false"/>
                <w:sz w:val="24"/>
                <w:szCs w:val="24"/>
              </w:rPr>
              <w:t xml:space="preserve">  </w:t>
            </w:r>
            <w:r>
              <w:rPr>
                <w:rFonts w:eastAsia="Arial Unicode MS"/>
                <w:b w:val="false"/>
                <w:i/>
                <w:iCs/>
                <w:sz w:val="24"/>
                <w:szCs w:val="24"/>
              </w:rPr>
              <w:t xml:space="preserve"> </w:t>
            </w:r>
            <w:r>
              <w:rPr>
                <w:rFonts w:eastAsia="Arial Unicode MS"/>
                <w:b w:val="false"/>
                <w:i/>
                <w:iCs/>
                <w:sz w:val="24"/>
                <w:szCs w:val="24"/>
              </w:rPr>
              <w:t>Послуги мають надаватися 24 години на добу, 7 днів на тиждень, за винятком перерв для проведення аварійних робіт і перерв, викликаних виходом з ладу обладнання, а також необхідних профілактичних і ремонтних робіт.</w:t>
            </w:r>
          </w:p>
          <w:p>
            <w:pPr>
              <w:pStyle w:val="Normal"/>
              <w:tabs>
                <w:tab w:val="clear" w:pos="708"/>
                <w:tab w:val="left" w:pos="851" w:leader="none"/>
              </w:tabs>
              <w:suppressAutoHyphens w:val="true"/>
              <w:spacing w:lineRule="auto" w:line="240" w:before="0" w:after="0"/>
              <w:ind w:start="0"/>
              <w:jc w:val="both"/>
              <w:rPr>
                <w:rFonts w:ascii="Times New Roman" w:hAnsi="Times New Roman" w:eastAsia="Arial Unicode MS"/>
                <w:b w:val="false"/>
                <w:i/>
                <w:iCs/>
                <w:sz w:val="24"/>
                <w:szCs w:val="24"/>
              </w:rPr>
            </w:pPr>
            <w:r>
              <w:rPr>
                <w:rFonts w:eastAsia="Arial Unicode MS" w:ascii="Times New Roman" w:hAnsi="Times New Roman"/>
                <w:b w:val="false"/>
                <w:i/>
                <w:iCs/>
                <w:sz w:val="24"/>
                <w:szCs w:val="24"/>
              </w:rPr>
              <w:t>Вимоги до зовнішніх ліній зв’язку:</w:t>
            </w:r>
          </w:p>
          <w:p>
            <w:pPr>
              <w:pStyle w:val="Normal"/>
              <w:tabs>
                <w:tab w:val="clear" w:pos="708"/>
                <w:tab w:val="left" w:pos="851" w:leader="none"/>
              </w:tabs>
              <w:suppressAutoHyphens w:val="true"/>
              <w:spacing w:lineRule="auto" w:line="240" w:before="0" w:after="0"/>
              <w:ind w:start="0"/>
              <w:jc w:val="both"/>
              <w:rPr>
                <w:rFonts w:ascii="Times New Roman" w:hAnsi="Times New Roman" w:eastAsia="Arial Unicode MS"/>
                <w:b w:val="false"/>
                <w:i/>
                <w:iCs/>
                <w:sz w:val="24"/>
                <w:szCs w:val="24"/>
              </w:rPr>
            </w:pPr>
            <w:r>
              <w:rPr>
                <w:rFonts w:eastAsia="Arial Unicode MS" w:ascii="Times New Roman" w:hAnsi="Times New Roman"/>
                <w:b w:val="false"/>
                <w:i/>
                <w:iCs/>
                <w:sz w:val="24"/>
                <w:szCs w:val="24"/>
              </w:rPr>
              <w:t xml:space="preserve">- </w:t>
            </w:r>
            <w:bookmarkStart w:id="0" w:name="_Hlk165572722"/>
            <w:r>
              <w:rPr>
                <w:rFonts w:eastAsia="Arial Unicode MS" w:ascii="Times New Roman" w:hAnsi="Times New Roman"/>
                <w:b w:val="false"/>
                <w:i/>
                <w:iCs/>
                <w:sz w:val="24"/>
                <w:szCs w:val="24"/>
              </w:rPr>
              <w:t>для підключення комп’ютерної  мережі Інтернет передбачено використання вже існуючих або прокладання нових зовнішніх волоконно-оптичних ліній зв’язку від вузла зв’язку чи оптичної муфти Оператора зв’язку в розподільчий пункт (до кінцевого обладнання);</w:t>
            </w:r>
          </w:p>
          <w:p>
            <w:pPr>
              <w:pStyle w:val="2"/>
              <w:tabs>
                <w:tab w:val="clear" w:pos="708"/>
                <w:tab w:val="left" w:pos="851" w:leader="none"/>
              </w:tabs>
              <w:ind w:start="0"/>
              <w:jc w:val="both"/>
              <w:rPr>
                <w:rFonts w:ascii="Times New Roman" w:hAnsi="Times New Roman"/>
                <w:i/>
                <w:iCs/>
                <w:sz w:val="24"/>
                <w:szCs w:val="24"/>
              </w:rPr>
            </w:pPr>
            <w:r>
              <w:rPr>
                <w:rFonts w:eastAsia="Arial Unicode MS"/>
                <w:b w:val="false"/>
                <w:i/>
                <w:iCs/>
                <w:sz w:val="24"/>
                <w:szCs w:val="24"/>
              </w:rPr>
              <w:t>- інтерфейс підключення до активного обладнання локальної мережі в розподільчому пункті – GPON/х</w:t>
            </w:r>
            <w:r>
              <w:rPr>
                <w:rFonts w:eastAsia="Arial Unicode MS"/>
                <w:b w:val="false"/>
                <w:i/>
                <w:iCs/>
                <w:sz w:val="24"/>
                <w:szCs w:val="24"/>
                <w:lang w:val="en-US"/>
              </w:rPr>
              <w:t>DSL</w:t>
            </w:r>
            <w:r>
              <w:rPr>
                <w:rFonts w:eastAsia="Arial Unicode MS"/>
                <w:b w:val="false"/>
                <w:i/>
                <w:iCs/>
                <w:sz w:val="24"/>
                <w:szCs w:val="24"/>
              </w:rPr>
              <w:t>/</w:t>
            </w:r>
            <w:r>
              <w:rPr>
                <w:rFonts w:eastAsia="Arial Unicode MS"/>
                <w:b w:val="false"/>
                <w:i/>
                <w:iCs/>
                <w:sz w:val="24"/>
                <w:szCs w:val="24"/>
                <w:lang w:val="en-US"/>
              </w:rPr>
              <w:t>Ethernet</w:t>
            </w:r>
            <w:bookmarkEnd w:id="0"/>
            <w:r>
              <w:rPr>
                <w:rFonts w:eastAsia="Arial Unicode MS"/>
                <w:b w:val="false"/>
                <w:i/>
                <w:iCs/>
                <w:sz w:val="24"/>
                <w:szCs w:val="24"/>
              </w:rPr>
              <w:t>;</w:t>
            </w:r>
          </w:p>
          <w:p>
            <w:pPr>
              <w:pStyle w:val="2"/>
              <w:tabs>
                <w:tab w:val="clear" w:pos="708"/>
                <w:tab w:val="left" w:pos="851" w:leader="none"/>
              </w:tabs>
              <w:ind w:start="0"/>
              <w:jc w:val="both"/>
              <w:rPr>
                <w:rFonts w:ascii="Times New Roman" w:hAnsi="Times New Roman"/>
                <w:i/>
                <w:iCs/>
                <w:sz w:val="24"/>
                <w:szCs w:val="24"/>
              </w:rPr>
            </w:pPr>
            <w:r>
              <w:rPr>
                <w:rFonts w:eastAsia="Arial Unicode MS"/>
                <w:b w:val="false"/>
                <w:i/>
                <w:iCs/>
                <w:sz w:val="24"/>
                <w:szCs w:val="24"/>
              </w:rPr>
              <w:t>- підключення активного мережевого обладнання в розподільчому пункті виконується за допомогою стандартних волоконно-оптичних з’єднувальних шнурів (пігтейлів, пачкордів чи sfp-модулів) ;</w:t>
            </w:r>
          </w:p>
          <w:p>
            <w:pPr>
              <w:pStyle w:val="2"/>
              <w:tabs>
                <w:tab w:val="clear" w:pos="708"/>
                <w:tab w:val="left" w:pos="851" w:leader="none"/>
              </w:tabs>
              <w:ind w:start="0"/>
              <w:jc w:val="both"/>
              <w:rPr>
                <w:rFonts w:ascii="Times New Roman" w:hAnsi="Times New Roman"/>
                <w:i/>
                <w:iCs/>
                <w:sz w:val="24"/>
                <w:szCs w:val="24"/>
              </w:rPr>
            </w:pPr>
            <w:r>
              <w:rPr>
                <w:rFonts w:eastAsia="Arial Unicode MS"/>
                <w:b w:val="false"/>
                <w:i/>
                <w:iCs/>
                <w:sz w:val="24"/>
                <w:szCs w:val="24"/>
              </w:rPr>
              <w:t>Вимоги до розподільчого пункту:</w:t>
            </w:r>
          </w:p>
          <w:p>
            <w:pPr>
              <w:pStyle w:val="2"/>
              <w:tabs>
                <w:tab w:val="clear" w:pos="708"/>
                <w:tab w:val="left" w:pos="851" w:leader="none"/>
              </w:tabs>
              <w:ind w:start="0"/>
              <w:jc w:val="both"/>
              <w:rPr>
                <w:rFonts w:ascii="Times New Roman" w:hAnsi="Times New Roman"/>
                <w:i/>
                <w:iCs/>
                <w:sz w:val="24"/>
                <w:szCs w:val="24"/>
              </w:rPr>
            </w:pPr>
            <w:r>
              <w:rPr>
                <w:rFonts w:eastAsia="Arial Unicode MS"/>
                <w:b w:val="false"/>
                <w:i/>
                <w:iCs/>
                <w:sz w:val="24"/>
                <w:szCs w:val="24"/>
              </w:rPr>
              <w:t>- підключення пасивного та активного оптичного мережевого облад</w:t>
            </w:r>
            <w:r>
              <w:rPr>
                <w:rFonts w:eastAsia="Arial Unicode MS"/>
                <w:b w:val="false"/>
                <w:bCs w:val="false"/>
                <w:i/>
                <w:iCs/>
                <w:sz w:val="24"/>
                <w:szCs w:val="24"/>
              </w:rPr>
              <w:t>нання здійснюються за допомогою стандартних з’єднувальних шнурів заводського виготовлення;</w:t>
            </w:r>
          </w:p>
          <w:p>
            <w:pPr>
              <w:pStyle w:val="2"/>
              <w:tabs>
                <w:tab w:val="clear" w:pos="708"/>
                <w:tab w:val="left" w:pos="851" w:leader="none"/>
              </w:tabs>
              <w:ind w:start="0"/>
              <w:jc w:val="both"/>
              <w:rPr>
                <w:rFonts w:ascii="Times New Roman" w:hAnsi="Times New Roman"/>
                <w:b w:val="false"/>
                <w:bCs w:val="false"/>
                <w:i/>
                <w:iCs/>
                <w:sz w:val="24"/>
                <w:szCs w:val="24"/>
              </w:rPr>
            </w:pPr>
            <w:r>
              <w:rPr>
                <w:b w:val="false"/>
                <w:bCs w:val="false"/>
                <w:i/>
                <w:iCs/>
                <w:sz w:val="24"/>
                <w:szCs w:val="24"/>
              </w:rPr>
              <w:t>-  все пасивне обладнання кабельної мережі відповідає вимогам категорії не нижче 5е;</w:t>
            </w:r>
          </w:p>
          <w:p>
            <w:pPr>
              <w:pStyle w:val="Normal"/>
              <w:tabs>
                <w:tab w:val="clear" w:pos="708"/>
                <w:tab w:val="left" w:pos="851" w:leader="none"/>
              </w:tabs>
              <w:suppressAutoHyphens w:val="true"/>
              <w:spacing w:lineRule="auto" w:line="240" w:before="0" w:after="0"/>
              <w:ind w:start="0"/>
              <w:jc w:val="both"/>
              <w:rPr>
                <w:rFonts w:ascii="Times New Roman" w:hAnsi="Times New Roman"/>
                <w:i/>
                <w:iCs/>
                <w:sz w:val="24"/>
                <w:szCs w:val="24"/>
              </w:rPr>
            </w:pPr>
            <w:r>
              <w:rPr>
                <w:rFonts w:eastAsia="Arial Unicode MS" w:ascii="Times New Roman" w:hAnsi="Times New Roman"/>
                <w:b w:val="false"/>
                <w:i/>
                <w:iCs/>
                <w:sz w:val="24"/>
                <w:szCs w:val="24"/>
              </w:rPr>
              <w:t xml:space="preserve">    </w:t>
            </w:r>
            <w:r>
              <w:rPr>
                <w:rFonts w:eastAsia="Arial Unicode MS" w:ascii="Times New Roman" w:hAnsi="Times New Roman"/>
                <w:b w:val="false"/>
                <w:i/>
                <w:iCs/>
                <w:sz w:val="24"/>
                <w:szCs w:val="24"/>
              </w:rPr>
              <w:t>Організація підключення до мережі Інтернет (електронні комунікаційні послуги) здійснюється за допомогою ВОЛЗ (волоконно-оптичної лінії зв'язку).</w:t>
            </w:r>
          </w:p>
          <w:p>
            <w:pPr>
              <w:pStyle w:val="2"/>
              <w:tabs>
                <w:tab w:val="clear" w:pos="708"/>
                <w:tab w:val="left" w:pos="851" w:leader="none"/>
              </w:tabs>
              <w:spacing w:lineRule="auto" w:line="240" w:before="0" w:after="0"/>
              <w:ind w:start="0"/>
              <w:jc w:val="both"/>
              <w:rPr>
                <w:rFonts w:ascii="Times New Roman" w:hAnsi="Times New Roman" w:eastAsia="Arial Unicode MS"/>
                <w:b w:val="false"/>
                <w:i/>
                <w:iCs/>
                <w:sz w:val="24"/>
                <w:szCs w:val="24"/>
              </w:rPr>
            </w:pPr>
            <w:r>
              <w:rPr>
                <w:rFonts w:eastAsia="Arial Unicode MS"/>
                <w:b w:val="false"/>
                <w:i/>
                <w:iCs/>
                <w:sz w:val="24"/>
                <w:szCs w:val="24"/>
              </w:rPr>
              <w:t xml:space="preserve">     </w:t>
            </w:r>
            <w:r>
              <w:rPr>
                <w:rFonts w:eastAsia="Arial Unicode MS"/>
                <w:b w:val="false"/>
                <w:i/>
                <w:iCs/>
                <w:sz w:val="24"/>
                <w:szCs w:val="24"/>
              </w:rPr>
              <w:t>Пропускна здатність каналу складає не менше 99% переданих пакетів.</w:t>
            </w:r>
          </w:p>
          <w:p>
            <w:pPr>
              <w:pStyle w:val="2"/>
              <w:tabs>
                <w:tab w:val="clear" w:pos="708"/>
                <w:tab w:val="left" w:pos="851" w:leader="none"/>
              </w:tabs>
              <w:spacing w:lineRule="auto" w:line="240" w:before="0" w:after="0"/>
              <w:ind w:start="0"/>
              <w:jc w:val="both"/>
              <w:rPr>
                <w:rFonts w:ascii="Times New Roman" w:hAnsi="Times New Roman" w:eastAsia="Arial Unicode MS"/>
                <w:b w:val="false"/>
                <w:bCs w:val="false"/>
                <w:i/>
                <w:iCs/>
                <w:sz w:val="24"/>
                <w:szCs w:val="24"/>
              </w:rPr>
            </w:pPr>
            <w:r>
              <w:rPr>
                <w:rFonts w:eastAsia="Arial Unicode MS"/>
                <w:b w:val="false"/>
                <w:bCs w:val="false"/>
                <w:i/>
                <w:iCs/>
                <w:sz w:val="24"/>
                <w:szCs w:val="24"/>
              </w:rPr>
              <w:t xml:space="preserve">Необхідна </w:t>
            </w:r>
            <w:r>
              <w:rPr>
                <w:rFonts w:eastAsia="Times New Roman"/>
                <w:b w:val="false"/>
                <w:bCs w:val="false"/>
                <w:i/>
                <w:iCs/>
                <w:color w:val="000000"/>
                <w:sz w:val="24"/>
                <w:szCs w:val="24"/>
                <w:lang w:val="uk-UA" w:eastAsia="zh-CN"/>
              </w:rPr>
              <w:t>ш</w:t>
            </w:r>
            <w:r>
              <w:rPr>
                <w:rFonts w:eastAsia="Arial Unicode MS"/>
                <w:b w:val="false"/>
                <w:bCs w:val="false"/>
                <w:i/>
                <w:iCs/>
                <w:sz w:val="24"/>
                <w:szCs w:val="24"/>
              </w:rPr>
              <w:t>видкість доступу до мережі Інтернет/ приймання/ передавання (</w:t>
            </w:r>
            <w:r>
              <w:rPr>
                <w:rFonts w:eastAsia="Arial Unicode MS"/>
                <w:b w:val="false"/>
                <w:bCs w:val="false"/>
                <w:i/>
                <w:iCs/>
                <w:sz w:val="24"/>
                <w:szCs w:val="24"/>
                <w:lang w:val="uk-UA"/>
              </w:rPr>
              <w:t>50 Мбіт/с.(приймання) 50 Мбіт/с.(передавання)</w:t>
            </w:r>
            <w:r>
              <w:rPr>
                <w:rFonts w:eastAsia="Arial Unicode MS"/>
                <w:b w:val="false"/>
                <w:bCs w:val="false"/>
                <w:i/>
                <w:iCs/>
                <w:sz w:val="24"/>
                <w:szCs w:val="24"/>
              </w:rPr>
              <w:t xml:space="preserve"> ).</w:t>
            </w:r>
          </w:p>
        </w:tc>
      </w:tr>
      <w:tr>
        <w:trPr/>
        <w:tc>
          <w:tcPr>
            <w:tcW w:w="2603" w:type="dxa"/>
            <w:tcBorders>
              <w:top w:val="nil"/>
            </w:tcBorders>
          </w:tcPr>
          <w:p>
            <w:pPr>
              <w:pStyle w:val="Normal"/>
              <w:suppressAutoHyphens w:val="true"/>
              <w:spacing w:lineRule="auto" w:line="240" w:before="0" w:after="0"/>
              <w:rPr>
                <w:rFonts w:ascii="Times New Roman" w:hAnsi="Times New Roman" w:eastAsia="Times New Roman" w:cs="Times New Roman"/>
                <w:b/>
                <w:i/>
                <w:sz w:val="26"/>
                <w:szCs w:val="26"/>
                <w:lang w:val="uk-UA" w:eastAsia="ru-RU"/>
              </w:rPr>
            </w:pPr>
            <w:r>
              <w:rPr>
                <w:rFonts w:eastAsia="Times New Roman" w:cs="Times New Roman" w:ascii="Times New Roman" w:hAnsi="Times New Roman"/>
                <w:b/>
                <w:i/>
                <w:sz w:val="26"/>
                <w:szCs w:val="26"/>
                <w:lang w:val="uk-UA" w:eastAsia="ru-RU"/>
              </w:rPr>
            </w:r>
          </w:p>
        </w:tc>
        <w:tc>
          <w:tcPr>
            <w:tcW w:w="6973" w:type="dxa"/>
            <w:tcBorders>
              <w:top w:val="nil"/>
            </w:tcBorders>
          </w:tcPr>
          <w:p>
            <w:pPr>
              <w:pStyle w:val="Normal"/>
              <w:suppressAutoHyphens w:val="true"/>
              <w:spacing w:lineRule="auto" w:line="240" w:before="0" w:after="0"/>
              <w:jc w:val="both"/>
              <w:rPr>
                <w:rFonts w:ascii="Times New Roman" w:hAnsi="Times New Roman" w:eastAsia="Times New Roman" w:cs="Times New Roman"/>
                <w:i/>
                <w:sz w:val="26"/>
                <w:szCs w:val="26"/>
                <w:lang w:val="uk-UA" w:eastAsia="ru-RU"/>
              </w:rPr>
            </w:pPr>
            <w:r>
              <w:rPr>
                <w:rFonts w:eastAsia="Times New Roman" w:cs="Times New Roman" w:ascii="Times New Roman" w:hAnsi="Times New Roman"/>
                <w:i/>
                <w:sz w:val="26"/>
                <w:szCs w:val="26"/>
                <w:lang w:val="uk-UA" w:eastAsia="ru-RU"/>
              </w:rPr>
            </w:r>
          </w:p>
        </w:tc>
      </w:tr>
    </w:tbl>
    <w:p>
      <w:pPr>
        <w:pStyle w:val="Normal"/>
        <w:pBdr>
          <w:bottom w:val="single" w:sz="4" w:space="1" w:color="000000"/>
        </w:pBdr>
        <w:shd w:val="clear" w:color="auto" w:fill="FFFFFF"/>
        <w:spacing w:lineRule="auto" w:line="240" w:before="0" w:after="0"/>
        <w:rPr>
          <w:rFonts w:ascii="Times New Roman" w:hAnsi="Times New Roman" w:eastAsia="Times New Roman" w:cs="Times New Roman"/>
          <w:b/>
          <w:sz w:val="26"/>
          <w:szCs w:val="26"/>
          <w:lang w:val="uk-UA" w:eastAsia="ru-RU"/>
        </w:rPr>
      </w:pPr>
      <w:r>
        <w:rPr>
          <w:rFonts w:eastAsia="Times New Roman" w:cs="Times New Roman" w:ascii="Times New Roman" w:hAnsi="Times New Roman"/>
          <w:b/>
          <w:sz w:val="26"/>
          <w:szCs w:val="26"/>
          <w:lang w:val="uk-UA" w:eastAsia="ru-RU"/>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d945c6"/>
    <w:rPr>
      <w:rFonts w:ascii="Segoe UI" w:hAnsi="Segoe UI" w:cs="Segoe UI"/>
      <w:sz w:val="18"/>
      <w:szCs w:val="18"/>
    </w:rPr>
  </w:style>
  <w:style w:type="character" w:styleId="Hyperlink">
    <w:name w:val="Hyperlink"/>
    <w:qFormat/>
    <w:rPr>
      <w:color w:val="000080"/>
      <w:u w:val="single"/>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Покажчик"/>
    <w:basedOn w:val="Normal"/>
    <w:qFormat/>
    <w:pPr>
      <w:suppressLineNumbers/>
    </w:pPr>
    <w:rPr>
      <w:rFonts w:cs="Lucida Sans"/>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Покажчик (user)"/>
    <w:basedOn w:val="Normal"/>
    <w:qFormat/>
    <w:pPr>
      <w:suppressLineNumbers/>
    </w:pPr>
    <w:rPr>
      <w:rFonts w:cs="Lucida Sans"/>
    </w:rPr>
  </w:style>
  <w:style w:type="paragraph" w:styleId="ListParagraph">
    <w:name w:val="List Paragraph"/>
    <w:basedOn w:val="Normal"/>
    <w:uiPriority w:val="34"/>
    <w:qFormat/>
    <w:rsid w:val="00975f80"/>
    <w:pPr>
      <w:spacing w:before="0" w:after="200"/>
      <w:ind w:hanging="0" w:start="720"/>
      <w:contextualSpacing/>
    </w:pPr>
    <w:rPr/>
  </w:style>
  <w:style w:type="paragraph" w:styleId="BalloonText">
    <w:name w:val="Balloon Text"/>
    <w:basedOn w:val="Normal"/>
    <w:uiPriority w:val="99"/>
    <w:semiHidden/>
    <w:unhideWhenUsed/>
    <w:qFormat/>
    <w:rsid w:val="00d945c6"/>
    <w:pPr>
      <w:spacing w:lineRule="auto" w:line="240" w:before="0" w:after="0"/>
    </w:pPr>
    <w:rPr>
      <w:rFonts w:ascii="Segoe UI" w:hAnsi="Segoe UI" w:cs="Segoe UI"/>
      <w:sz w:val="18"/>
      <w:szCs w:val="18"/>
    </w:rPr>
  </w:style>
  <w:style w:type="paragraph" w:styleId="2">
    <w:name w:val="Абзац списка2"/>
    <w:basedOn w:val="Normal"/>
    <w:qFormat/>
    <w:pPr>
      <w:widowControl w:val="false"/>
      <w:suppressAutoHyphens w:val="false"/>
      <w:spacing w:lineRule="auto" w:line="240" w:before="0" w:after="0"/>
      <w:ind w:start="720"/>
    </w:pPr>
    <w:rPr>
      <w:rFonts w:ascii="Times New Roman" w:hAnsi="Times New Roman"/>
      <w:b/>
      <w:sz w:val="20"/>
      <w:szCs w:val="20"/>
      <w:lang w:val="uk-UA" w:eastAsia="ru-RU"/>
    </w:rPr>
  </w:style>
  <w:style w:type="paragraph" w:styleId="user2">
    <w:name w:val="Вміст таблиці (user)"/>
    <w:basedOn w:val="Normal"/>
    <w:qFormat/>
    <w:pPr>
      <w:widowControl w:val="false"/>
      <w:suppressLineNumbers/>
    </w:pPr>
    <w:rPr/>
  </w:style>
  <w:style w:type="paragraph" w:styleId="user3">
    <w:name w:val="Заголовок таблиці (user)"/>
    <w:basedOn w:val="user2"/>
    <w:qFormat/>
    <w:pPr>
      <w:suppressLineNumbers/>
      <w:jc w:val="center"/>
    </w:pPr>
    <w:rPr>
      <w:b/>
      <w:bCs/>
    </w:rPr>
  </w:style>
  <w:style w:type="numbering" w:styleId="user4"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a67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F6933-801C-45F7-A463-959A8CAB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Application>LibreOffice/26.2.0.3$Windows_X86_64 LibreOffice_project/620$Build-3</Application>
  <AppVersion>15.0000</AppVersion>
  <Pages>3</Pages>
  <Words>523</Words>
  <Characters>3766</Characters>
  <CharactersWithSpaces>4273</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2024-10-28T18:52:00Z</dcterms:created>
  <dc:creator>Пользователь</dc:creator>
  <dc:description/>
  <dc:language>uk-UA</dc:language>
  <cp:lastModifiedBy/>
  <cp:lastPrinted>2024-12-01T17:33:00Z</cp:lastPrinted>
  <dcterms:modified xsi:type="dcterms:W3CDTF">2026-02-08T02:03:21Z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