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hd w:val="clear" w:fill="FFFFFF"/>
        <w:spacing w:lineRule="auto" w:line="240" w:after="0" w:beforeAutospacing="0" w:afterAutospacing="0"/>
        <w:ind w:left="5670"/>
        <w:jc w:val="both"/>
        <w:rPr>
          <w:rFonts w:ascii="Times New Roman" w:hAnsi="Times New Roman"/>
        </w:rPr>
      </w:pPr>
      <w:bookmarkStart w:id="0" w:name="_heading=h.gjdgxs"/>
      <w:bookmarkEnd w:id="0"/>
      <w:r>
        <w:rPr>
          <w:rFonts w:ascii="Times New Roman" w:hAnsi="Times New Roman"/>
        </w:rPr>
        <w:t>Додаток 5</w:t>
      </w:r>
    </w:p>
    <w:p>
      <w:pPr>
        <w:shd w:val="clear" w:fill="FFFFFF"/>
        <w:spacing w:lineRule="auto" w:line="240" w:after="0" w:beforeAutospacing="0" w:afterAutospacing="0"/>
        <w:ind w:left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 Порядку організації та надання безоплатної правничої допомоги міжрегіональними центрами з надання безоплатної правничої допомоги 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4"/>
          <w:szCs w:val="24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4"/>
          <w:szCs w:val="24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>ТАЛОН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>про прийняття заяви про надання безоплатної вторинної правничої допомоги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до реєстраційного номеру звернення від __. __ . ____ № ___________________________ </w:t>
      </w:r>
    </w:p>
    <w:p>
      <w:pPr>
        <w:spacing w:lineRule="auto" w:line="240" w:before="120" w:after="0" w:beforeAutospacing="0" w:afterAutospacing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виданий</w:t>
      </w:r>
      <w:r>
        <w:rPr>
          <w:rFonts w:ascii="Times New Roman" w:hAnsi="Times New Roman"/>
          <w:sz w:val="20"/>
          <w:szCs w:val="20"/>
        </w:rPr>
        <w:t xml:space="preserve"> ________________________________________________________________________________________________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найменування міжрегіонального центру з надання безоплатної правничої допомоги (далі - центр)</w:t>
      </w:r>
    </w:p>
    <w:p>
      <w:pPr>
        <w:spacing w:lineRule="auto" w:line="240" w:before="120" w:after="0" w:beforeAutospacing="0" w:afterAutospacing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tabs>
          <w:tab w:val="center" w:pos="4819" w:leader="none"/>
          <w:tab w:val="right" w:pos="9639" w:leader="none"/>
        </w:tabs>
        <w:spacing w:lineRule="auto" w:line="240" w:after="0" w:beforeAutospacing="0" w:afterAutospacing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прізвище, ім’я, по батькові особи, яка звернулася за безоплатною вторинною правничої допомоги (далі - клієнт)</w:t>
      </w:r>
      <w:r>
        <w:rPr>
          <w:rFonts w:ascii="Times New Roman" w:hAnsi="Times New Roman"/>
        </w:rPr>
        <w:t>*</w:t>
      </w:r>
    </w:p>
    <w:p>
      <w:pPr>
        <w:spacing w:lineRule="auto" w:line="240" w:before="120" w:after="0" w:beforeAutospacing="0" w:afterAutospacing="0"/>
        <w:jc w:val="both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>про те, що центром було прийнято та зареєстровано Вашу заяву, до якої додані копії таких документів:</w:t>
      </w:r>
    </w:p>
    <w:p>
      <w:pPr>
        <w:spacing w:lineRule="auto" w:line="240" w:after="120" w:beforeAutospacing="0" w:afterAutospacing="0"/>
        <w:rPr>
          <w:rFonts w:ascii="Times New Roman" w:hAnsi="Times New Roman"/>
          <w:sz w:val="24"/>
          <w:szCs w:val="24"/>
        </w:rPr>
      </w:pPr>
    </w:p>
    <w:tbl>
      <w:tblPr>
        <w:tblStyle w:val="T4"/>
        <w:tblW w:w="9629" w:type="dxa"/>
        <w:tblInd w:w="0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Look w:val="0400"/>
      </w:tblPr>
      <w:tblGrid/>
      <w:tr>
        <w:tc>
          <w:tcPr>
            <w:tcW w:w="532" w:type="dxa"/>
          </w:tcPr>
          <w:p>
            <w:pPr>
              <w:jc w:val="center"/>
              <w:rPr>
                <w:rFonts w:ascii="Times New Roman" w:hAnsi="Times New Roman"/>
                <w:b w:val="1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sz w:val="24"/>
                <w:szCs w:val="24"/>
              </w:rPr>
              <w:t>№ з/п</w:t>
            </w:r>
          </w:p>
        </w:tc>
        <w:tc>
          <w:tcPr>
            <w:tcW w:w="7471" w:type="dxa"/>
          </w:tcPr>
          <w:p>
            <w:pPr>
              <w:jc w:val="center"/>
              <w:rPr>
                <w:rFonts w:ascii="Times New Roman" w:hAnsi="Times New Roman"/>
                <w:b w:val="1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sz w:val="24"/>
                <w:szCs w:val="24"/>
              </w:rPr>
              <w:t>Вид документа</w:t>
            </w:r>
          </w:p>
        </w:tc>
        <w:tc>
          <w:tcPr>
            <w:tcW w:w="1626" w:type="dxa"/>
          </w:tcPr>
          <w:p>
            <w:pPr>
              <w:jc w:val="center"/>
              <w:rPr>
                <w:rFonts w:ascii="Times New Roman" w:hAnsi="Times New Roman"/>
                <w:b w:val="1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sz w:val="24"/>
                <w:szCs w:val="24"/>
              </w:rPr>
              <w:t>Дата прийняття</w:t>
            </w:r>
          </w:p>
        </w:tc>
      </w:tr>
      <w:tr>
        <w:tc>
          <w:tcPr>
            <w:tcW w:w="532" w:type="dxa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1" w:type="dxa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>
      <w:pPr>
        <w:spacing w:lineRule="auto" w:line="240" w:after="0" w:beforeAutospacing="0" w:afterAutospacing="0"/>
        <w:rPr>
          <w:rFonts w:ascii="Times New Roman" w:hAnsi="Times New Roman"/>
          <w:sz w:val="20"/>
          <w:szCs w:val="20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0"/>
          <w:szCs w:val="20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0"/>
          <w:szCs w:val="20"/>
        </w:rPr>
      </w:pP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Протягом 10 робочих днів центром буде прийнято рішення про надання або відмову у наданні Вам безоплатної вторинної правничої допомоги, про що Вас буде повідомлено.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разі виникнення уточнювальних запитань Ви можете звернутися на Єдиний контактний номер телефону системи надання безоплатної правничої допомоги </w:t>
      </w:r>
      <w:r>
        <w:rPr>
          <w:rFonts w:ascii="Times New Roman" w:hAnsi="Times New Roman"/>
          <w:b w:val="1"/>
          <w:sz w:val="24"/>
          <w:szCs w:val="24"/>
        </w:rPr>
        <w:t>0 800 213 103</w:t>
      </w:r>
      <w:r>
        <w:rPr>
          <w:rFonts w:ascii="Times New Roman" w:hAnsi="Times New Roman"/>
          <w:sz w:val="24"/>
          <w:szCs w:val="24"/>
        </w:rPr>
        <w:t xml:space="preserve"> (усі дзвінки безкоштовні). Під час розмови з працівником вкажіть, будь ласка, реєстраційний номер Вашого звернення. 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0"/>
          <w:szCs w:val="20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Дата видачі: __ . __ . ____ / __ : __.</w:t>
      </w:r>
      <w:r>
        <w:rPr>
          <w:rFonts w:ascii="Times New Roman" w:hAnsi="Times New Roman"/>
          <w:sz w:val="20"/>
          <w:szCs w:val="20"/>
        </w:rPr>
        <w:t xml:space="preserve"> </w:t>
        <w:tab/>
        <w:tab/>
        <w:tab/>
        <w:tab/>
        <w:t xml:space="preserve">             ________________________________</w:t>
      </w:r>
    </w:p>
    <w:p>
      <w:pPr>
        <w:spacing w:lineRule="auto" w:line="240" w:after="0" w:beforeAutospacing="0" w:afterAutospacing="0"/>
        <w:ind w:left="6663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/ім’я, прізвище працівника центру/</w:t>
      </w:r>
    </w:p>
    <w:p>
      <w:pPr>
        <w:spacing w:lineRule="auto" w:line="240" w:after="0" w:beforeAutospacing="0" w:afterAutospacing="0"/>
        <w:ind w:left="6663"/>
        <w:jc w:val="center"/>
        <w:rPr>
          <w:rFonts w:ascii="Times New Roman" w:hAnsi="Times New Roman"/>
          <w:sz w:val="14"/>
          <w:szCs w:val="1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Отримав: </w:t>
        <w:tab/>
      </w:r>
      <w:r>
        <w:rPr>
          <w:rFonts w:ascii="Times New Roman" w:hAnsi="Times New Roman"/>
          <w:sz w:val="20"/>
          <w:szCs w:val="20"/>
        </w:rPr>
        <w:tab/>
        <w:tab/>
        <w:tab/>
        <w:tab/>
        <w:tab/>
        <w:tab/>
        <w:tab/>
        <w:t>________________________________</w:t>
      </w:r>
    </w:p>
    <w:p>
      <w:pPr>
        <w:spacing w:lineRule="auto" w:line="240" w:after="0" w:beforeAutospacing="0" w:afterAutospacing="0"/>
        <w:ind w:left="6663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/</w:t>
      </w:r>
      <w:r>
        <w:rPr>
          <w:rFonts w:ascii="Times New Roman" w:hAnsi="Times New Roman"/>
          <w:smallCaps w:val="0"/>
          <w:sz w:val="16"/>
          <w:szCs w:val="22"/>
          <w:cs w:val="0"/>
          <w:spacing w:val="0"/>
          <w:w w:val="100"/>
          <w:position w:val="0"/>
          <w:snapToGrid w:val="1"/>
        </w:rPr>
        <w:t xml:space="preserve">власне </w:t>
      </w:r>
      <w:r>
        <w:rPr>
          <w:rFonts w:ascii="Times New Roman" w:hAnsi="Times New Roman"/>
          <w:sz w:val="16"/>
          <w:szCs w:val="16"/>
        </w:rPr>
        <w:t>ім’я, прізвище особи, яка звернулася за безоплатною вторинною правничою допомогою/представника/</w:t>
      </w:r>
    </w:p>
    <w:p>
      <w:pPr>
        <w:spacing w:lineRule="auto" w:line="240" w:after="0" w:beforeAutospacing="0" w:afterAutospacing="0"/>
        <w:ind w:left="6663"/>
        <w:jc w:val="center"/>
        <w:rPr>
          <w:rFonts w:ascii="Times New Roman" w:hAnsi="Times New Roman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0" w:beforeAutospacing="0" w:afterAutospacing="0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* У разі звернення представника клієнта у талоні зазначається прізвище, ім’я, по батькові особи, в інтересах якої звертається представник та документ, що підтверджує повноваження особи як представника (крім випадків, коли законними представниками є батьки (усиновлювачі).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0" w:beforeAutospacing="0" w:afterAutospacing="0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>
        <w:br w:type="page"/>
      </w:r>
    </w:p>
    <w:p>
      <w:pPr>
        <w:jc w:val="right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>[Зворотна сторона талона]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Права та обов’язки особи – суб’єкта права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на безоплатну вторинну правничу допомогу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Права та обов’язки суб’єктів права на безоплатну вторинну правничу допомогу передбачені Законом України «Про безоплатну правничу допомогу» (далі – Закон), іншими актами законодавства.</w:t>
      </w: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Безоплатна вторинна правнича допомога – вид державної гарантії, що полягає у створенні рівних можливостей для доступу осіб до правосуддя.</w:t>
      </w:r>
    </w:p>
    <w:p>
      <w:pPr>
        <w:spacing w:lineRule="auto" w:line="240" w:before="120" w:after="120" w:beforeAutospacing="0" w:afterAutospacing="0"/>
        <w:ind w:firstLine="709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Суб’єкт права на безоплатну вторинну правничу допомогу має право:</w:t>
      </w: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особисто або через представника звертатися із зверненням про надання безоплатної вторинної правничої допомоги до центру з надання безоплатної правничої допомоги (далі – центр), найближчого до місця фактичного проживання, за отриманням одного з таких видів правничих послуг: захист, здійснення представництва інтересів в суді</w:t>
      </w:r>
      <w:r>
        <w:rPr>
          <w:highlight w:val="white"/>
        </w:rPr>
        <w:t xml:space="preserve"> </w:t>
      </w:r>
      <w:r>
        <w:rPr>
          <w:rFonts w:ascii="Times New Roman" w:hAnsi="Times New Roman"/>
          <w:highlight w:val="white"/>
        </w:rPr>
        <w:t>інших державних органах, органах місцевого самоврядування, перед іншими особами</w:t>
      </w:r>
      <w:r>
        <w:rPr>
          <w:rFonts w:ascii="Times New Roman" w:hAnsi="Times New Roman"/>
        </w:rPr>
        <w:t>, складення документів процесуального характеру;</w:t>
      </w: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отримувати від центру інформацію про документи, які необхідно подати для прийняття рішення про надання безоплатної вторинної правничої допомоги;</w:t>
      </w: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отримати копію рішення про надання (відмову в наданні) безоплатної вторинної правничої допомоги;</w:t>
      </w: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 отримати роз’яснення щодо порядку оскарження рішення про відмову в наданні безоплатної вторинної правничої допомоги;</w:t>
      </w: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 своєчасно отримувати якісну, у повному обсязі безоплатну вторинну правничу допомогу;</w:t>
      </w: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6) безперервно отримувати безоплатну вторинну правничу допомогу в разі заміни адвоката або працівника, уповноваженого центром;</w:t>
      </w: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7) отримувати безоплатну вторинну правничу допомогу в межах національних засобів правового захисту (правнича допомога щодо звернень до Європейського суду з прав людини не надається).</w:t>
      </w:r>
    </w:p>
    <w:p>
      <w:pPr>
        <w:spacing w:lineRule="auto" w:line="240" w:before="120" w:after="120" w:beforeAutospacing="0" w:afterAutospacing="0"/>
        <w:ind w:firstLine="346" w:left="357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Суб’єкт права на безоплатну вторинну правничу допомогу зобов’язаний:</w:t>
      </w: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вчасно подавати до центру правдиві відомості у повному обсязі, необхідні для організації надання йому такої допомоги;</w:t>
      </w: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невідкладно повідомляти центр про припинення існування обставин чи підстав, за наявності яких особа була віднесена до категорій осіб, передбачених статтею 14 Закону, а також про залучення ним іншого захисника (представника);</w:t>
      </w: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відшкодовувати вартість фактичних витрат, пов’язаних з наданням безоплатної вторинної правничої допомоги, у разі припинення її надання у зв’язку з встановленням факту подання неправдивих відомостей, що стали підставою для надання такої допомоги;</w:t>
      </w: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 нести всі необхідні судові/процесуальні, інші витрати у справі, крім витрат на оплату послуг адвокатів, які надають безоплатну вторинну правничу допомогу, та відшкодовувати витрати, що пов’язані з її наданням, і послуги перекладу;</w:t>
      </w: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 з’являтися у визначені центром час та місце для організації надання безоплатної вторинної правничої допомоги.</w:t>
      </w:r>
    </w:p>
    <w:p>
      <w:pPr>
        <w:spacing w:lineRule="auto" w:line="240" w:before="120" w:after="120" w:beforeAutospacing="0" w:afterAutospacing="0"/>
        <w:ind w:firstLine="709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Пам’ятати, що:</w:t>
      </w: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правничу допомогу у вигляді захисту, складання документів правового характеру та представництва інтересів в судах надає адвокат/працівник центру (за дорученням/наказом центру);</w:t>
      </w: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центр має право замінити адвоката/працівника центру у випадку його хвороби, повної або часткової втрати працездатності, смерті адвоката/працівника; неналежного виконання адвокатом своїх зобов’язань за умовами договору; відмови адвоката/працівника центру від виконання доручення/наказу центру з підстав, передбачених законом; зміни підсудності провадження або справи чи підслідності кримінального правопорушення; припинення дії договору про надання безоплатної вторинної правничої допомоги; неналежне надання безоплатної вторинної правничої допомоги працівником центру, припинення трудового договору з працівником; зупинення або припинення права на зайняття адвокатською діяльністю; виключення адвоката з Реєстру адвокатів, які надають безоплатну вторинну правничу допомогу; наявності інших підстав, передбачених законом.</w:t>
      </w: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ind w:left="4956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_________________________________________</w:t>
      </w:r>
    </w:p>
    <w:p>
      <w:pPr>
        <w:spacing w:lineRule="auto" w:line="240" w:after="0" w:beforeAutospacing="0" w:afterAutospacing="0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 w:val="1"/>
          <w:sz w:val="16"/>
          <w:szCs w:val="16"/>
        </w:rPr>
        <w:t>(</w:t>
      </w:r>
      <w:r>
        <w:rPr>
          <w:rFonts w:ascii="Times New Roman" w:hAnsi="Times New Roman"/>
          <w:i w:val="0"/>
          <w:iCs w:val="0"/>
          <w:smallCaps w:val="0"/>
          <w:sz w:val="16"/>
          <w:szCs w:val="22"/>
          <w:cs w:val="0"/>
          <w:spacing w:val="0"/>
          <w:w w:val="100"/>
          <w:position w:val="0"/>
          <w:snapToGrid w:val="1"/>
        </w:rPr>
        <w:t xml:space="preserve">власне </w:t>
      </w:r>
      <w:r>
        <w:rPr>
          <w:rFonts w:ascii="Times New Roman" w:hAnsi="Times New Roman"/>
          <w:sz w:val="14"/>
          <w:szCs w:val="14"/>
        </w:rPr>
        <w:t>ім’я, прізвище особи, яка звернулася за безоплатною вторинною правничою допомогою, законного представника/ представника</w:t>
      </w:r>
      <w:r>
        <w:rPr>
          <w:rFonts w:ascii="Times New Roman" w:hAnsi="Times New Roman"/>
          <w:i w:val="1"/>
          <w:sz w:val="16"/>
          <w:szCs w:val="16"/>
        </w:rPr>
        <w:t>)</w:t>
      </w:r>
      <w:bookmarkStart w:id="1" w:name="_GoBack"/>
      <w:bookmarkEnd w:id="1"/>
    </w:p>
    <w:sectPr>
      <w:type w:val="nextPage"/>
      <w:pgSz w:w="11906" w:h="16838" w:code="0"/>
      <w:pgMar w:left="1417" w:right="850" w:top="568" w:bottom="709" w:header="708" w:footer="708" w:gutter="0"/>
      <w:pgNumType w:start="1" w:chapSep="period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uk-UA" w:bidi="ar-SA" w:eastAsia="uk-UA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qFormat/>
    <w:pPr>
      <w:keepNext w:val="1"/>
      <w:keepLines w:val="1"/>
      <w:spacing w:before="480" w:after="120" w:beforeAutospacing="0" w:afterAutospacing="0"/>
      <w:outlineLvl w:val="0"/>
    </w:pPr>
    <w:rPr>
      <w:b w:val="1"/>
      <w:sz w:val="48"/>
      <w:szCs w:val="48"/>
    </w:rPr>
  </w:style>
  <w:style w:type="paragraph" w:styleId="P2">
    <w:name w:val="heading 2"/>
    <w:basedOn w:val="P0"/>
    <w:next w:val="P0"/>
    <w:semiHidden/>
    <w:qFormat/>
    <w:pPr>
      <w:keepNext w:val="1"/>
      <w:keepLines w:val="1"/>
      <w:spacing w:before="360" w:after="80" w:beforeAutospacing="0" w:afterAutospacing="0"/>
      <w:outlineLvl w:val="1"/>
    </w:pPr>
    <w:rPr>
      <w:b w:val="1"/>
      <w:sz w:val="36"/>
      <w:szCs w:val="36"/>
    </w:rPr>
  </w:style>
  <w:style w:type="paragraph" w:styleId="P3">
    <w:name w:val="heading 3"/>
    <w:basedOn w:val="P0"/>
    <w:next w:val="P0"/>
    <w:semiHidden/>
    <w:qFormat/>
    <w:pPr>
      <w:keepNext w:val="1"/>
      <w:keepLines w:val="1"/>
      <w:spacing w:before="280" w:after="80" w:beforeAutospacing="0" w:afterAutospacing="0"/>
      <w:outlineLvl w:val="2"/>
    </w:pPr>
    <w:rPr>
      <w:b w:val="1"/>
      <w:sz w:val="28"/>
      <w:szCs w:val="28"/>
    </w:rPr>
  </w:style>
  <w:style w:type="paragraph" w:styleId="P4">
    <w:name w:val="heading 4"/>
    <w:basedOn w:val="P0"/>
    <w:next w:val="P0"/>
    <w:semiHidden/>
    <w:qFormat/>
    <w:pPr>
      <w:keepNext w:val="1"/>
      <w:keepLines w:val="1"/>
      <w:spacing w:before="240" w:after="40" w:beforeAutospacing="0" w:afterAutospacing="0"/>
      <w:outlineLvl w:val="3"/>
    </w:pPr>
    <w:rPr>
      <w:b w:val="1"/>
      <w:sz w:val="24"/>
      <w:szCs w:val="24"/>
    </w:rPr>
  </w:style>
  <w:style w:type="paragraph" w:styleId="P5">
    <w:name w:val="heading 5"/>
    <w:basedOn w:val="P0"/>
    <w:next w:val="P0"/>
    <w:semiHidden/>
    <w:qFormat/>
    <w:pPr>
      <w:keepNext w:val="1"/>
      <w:keepLines w:val="1"/>
      <w:spacing w:before="220" w:after="40" w:beforeAutospacing="0" w:afterAutospacing="0"/>
      <w:outlineLvl w:val="4"/>
    </w:pPr>
    <w:rPr>
      <w:b w:val="1"/>
    </w:rPr>
  </w:style>
  <w:style w:type="paragraph" w:styleId="P6">
    <w:name w:val="heading 6"/>
    <w:basedOn w:val="P0"/>
    <w:next w:val="P0"/>
    <w:semiHidden/>
    <w:qFormat/>
    <w:pPr>
      <w:keepNext w:val="1"/>
      <w:keepLines w:val="1"/>
      <w:spacing w:before="200" w:after="40" w:beforeAutospacing="0" w:afterAutospacing="0"/>
      <w:outlineLvl w:val="5"/>
    </w:pPr>
    <w:rPr>
      <w:b w:val="1"/>
      <w:sz w:val="20"/>
      <w:szCs w:val="20"/>
    </w:rPr>
  </w:style>
  <w:style w:type="paragraph" w:styleId="P7">
    <w:name w:val="Title"/>
    <w:basedOn w:val="P0"/>
    <w:next w:val="P0"/>
    <w:qFormat/>
    <w:pPr>
      <w:keepNext w:val="1"/>
      <w:keepLines w:val="1"/>
      <w:spacing w:before="480" w:after="120" w:beforeAutospacing="0" w:afterAutospacing="0"/>
    </w:pPr>
    <w:rPr>
      <w:b w:val="1"/>
      <w:sz w:val="72"/>
      <w:szCs w:val="72"/>
    </w:rPr>
  </w:style>
  <w:style w:type="paragraph" w:styleId="P8">
    <w:name w:val="List Paragraph"/>
    <w:basedOn w:val="P0"/>
    <w:qFormat/>
    <w:pPr>
      <w:ind w:left="720"/>
      <w:contextualSpacing w:val="1"/>
    </w:pPr>
    <w:rPr/>
  </w:style>
  <w:style w:type="paragraph" w:styleId="P9">
    <w:name w:val="Balloon Text"/>
    <w:basedOn w:val="P0"/>
    <w:link w:val="C3"/>
    <w:pPr>
      <w:spacing w:lineRule="auto" w:line="240" w:after="0" w:beforeAutospacing="0" w:afterAutospacing="0"/>
    </w:pPr>
    <w:rPr>
      <w:rFonts w:ascii="Segoe UI Symbol" w:hAnsi="Segoe UI Symbol"/>
      <w:sz w:val="18"/>
      <w:szCs w:val="18"/>
    </w:rPr>
  </w:style>
  <w:style w:type="paragraph" w:styleId="P10">
    <w:name w:val="Revision"/>
    <w:hidden/>
    <w:semiHidden/>
    <w:pPr>
      <w:spacing w:lineRule="auto" w:line="240" w:after="0" w:beforeAutospacing="0" w:afterAutospacing="0"/>
    </w:pPr>
    <w:rPr/>
  </w:style>
  <w:style w:type="paragraph" w:styleId="P11">
    <w:name w:val="Subtitle"/>
    <w:basedOn w:val="P0"/>
    <w:next w:val="P0"/>
    <w:pPr>
      <w:keepNext w:val="1"/>
      <w:keepLines w:val="1"/>
      <w:spacing w:before="360" w:after="80" w:beforeAutospacing="0" w:afterAutospacing="0"/>
    </w:pPr>
    <w:rPr>
      <w:rFonts w:ascii="Georgia" w:hAnsi="Georgia"/>
      <w:i w:val="1"/>
      <w:color w:val="666666"/>
      <w:sz w:val="48"/>
      <w:szCs w:val="48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Текст у виносці Знак"/>
    <w:basedOn w:val="C0"/>
    <w:link w:val="P9"/>
    <w:rPr>
      <w:rFonts w:ascii="Segoe UI Symbol" w:hAnsi="Segoe UI Symbol"/>
      <w:sz w:val="18"/>
      <w:szCs w:val="18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CellMar>
        <w:top w:w="0" w:type="dxa"/>
        <w:left w:w="0" w:type="dxa"/>
        <w:bottom w:w="0" w:type="dxa"/>
        <w:right w:w="0" w:type="dxa"/>
      </w:tblCellMar>
    </w:tblPr>
    <w:trPr/>
    <w:tcPr/>
  </w:style>
  <w:style w:type="table" w:styleId="T3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table" w:styleId="T4">
    <w:name w:val=""/>
    <w:basedOn w:val="T2"/>
    <w:pPr>
      <w:spacing w:lineRule="auto" w:line="240" w:after="0" w:beforeAutospacing="0" w:afterAutospacing="0"/>
    </w:pPr>
    <w:tblPr>
      <w:tblStyleRowBandSize w:val="1"/>
      <w:tblStyleColBandSize w:val="1"/>
      <w:tblCellMar>
        <w:left w:w="108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echbFybzmfO6aZmWP87OwaLiiQ==">CgMxLjAyCGguZ2pkZ3hzOABqMwoUc3VnZ2VzdC5qYWxxa2R5dno5eHYSG9Cd0LDRgtCw0LvRltGPINCc0LDRgNGH0YPQumozChRzdWdnZXN0Ljd2enl6cjQ1eHlkchIb0J3QsNGC0LDQu9GW0Y8g0JzQsNGA0YfRg9C6ciExTkphV1ZhQ1FKY184M0w2RUlFU2x3aDVRLThReDhLRzg=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МЕРЕДОВА Ганна</dc:creator>
  <dcterms:created xsi:type="dcterms:W3CDTF">2024-09-26T14:40:00Z</dcterms:created>
  <cp:lastModifiedBy>ASKOD</cp:lastModifiedBy>
  <dcterms:modified xsi:type="dcterms:W3CDTF">2024-10-01T13:05:15Z</dcterms:modified>
  <cp:revision>4</cp:revision>
</cp:coreProperties>
</file>