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after="0" w:beforeAutospacing="0" w:afterAutospacing="0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11</w:t>
      </w:r>
    </w:p>
    <w:p>
      <w:pPr>
        <w:spacing w:lineRule="auto" w:line="240" w:after="240" w:beforeAutospacing="0" w:afterAutospacing="0"/>
        <w:ind w:left="567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>
      <w:pPr>
        <w:spacing w:lineRule="auto" w:line="240" w:after="240" w:beforeAutospacing="0" w:afterAutospacing="0"/>
        <w:jc w:val="center"/>
        <w:rPr>
          <w:rFonts w:ascii="Times New Roman" w:hAnsi="Times New Roman"/>
        </w:rPr>
      </w:pPr>
    </w:p>
    <w:p>
      <w:pPr>
        <w:spacing w:lineRule="auto" w:line="240" w:after="240"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 w:val="1"/>
        </w:rPr>
        <w:drawing>
          <wp:inline xmlns:wp="http://schemas.openxmlformats.org/drawingml/2006/wordprocessingDrawing" distT="0" distB="0" distL="0" distR="0">
            <wp:extent cx="467995" cy="531495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31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  <w:br w:type="textWrapping"/>
      </w:r>
      <w:r>
        <w:rPr>
          <w:rFonts w:ascii="Times New Roman" w:hAnsi="Times New Roman"/>
          <w:i w:val="1"/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 А К А З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Про скасування доручення для надання безоплатної вторинної правничої допомоги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Відповідно до Положення про центри з надання безоплатної правничої допомоги, затвердженого наказом Міністерства юстиції України від 02 липня 2012 року № 967/5, зареєстрованого в Міністерстві юстиції України 03 липня 2012 року за № 1091/21403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НАКАЗУЮ: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numPr>
          <w:ilvl w:val="0"/>
          <w:numId w:val="2"/>
        </w:numPr>
        <w:spacing w:lineRule="auto" w:line="240" w:after="0" w:beforeAutospacing="0" w:afterAutospacing="0"/>
        <w:ind w:firstLine="851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Скасувати доручення для надання безоплатної вторинної правничої допомоги від «____» ________________ 20__ року № ____-_______ у зв’язку з __________________________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(зазначається причина скасування доручення, зокрема судове рішення, доручення видане помилково)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24"/>
          <w:szCs w:val="24"/>
        </w:rPr>
      </w:pPr>
    </w:p>
    <w:p>
      <w:pPr>
        <w:numPr>
          <w:ilvl w:val="0"/>
          <w:numId w:val="2"/>
        </w:numPr>
        <w:spacing w:lineRule="auto" w:line="240" w:after="0" w:beforeAutospacing="0" w:afterAutospacing="0"/>
        <w:ind w:firstLine="708"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виконанням цього наказу покласти на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20"/>
          <w:szCs w:val="20"/>
        </w:rPr>
      </w:pPr>
      <w:r>
        <w:rPr>
          <w:rFonts w:ascii="Times New Roman" w:hAnsi="Times New Roman"/>
          <w:i w:val="1"/>
          <w:sz w:val="16"/>
          <w:szCs w:val="16"/>
        </w:rPr>
        <w:t>(посада, прізвище, ім’я та по батькові працівника центру)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rPr>
          <w:rFonts w:ascii="Times New Roman" w:hAnsi="Times New Roman"/>
          <w:i w:val="1"/>
          <w:sz w:val="16"/>
          <w:szCs w:val="16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0"/>
          <w:szCs w:val="20"/>
        </w:rPr>
      </w:pPr>
      <w:r>
        <w:rPr>
          <w:rFonts w:ascii="Times New Roman" w:hAnsi="Times New Roman"/>
          <w:b w:val="1"/>
          <w:sz w:val="24"/>
          <w:szCs w:val="24"/>
        </w:rPr>
        <w:t xml:space="preserve">__________________________                                                                       __________________                                           </w:t>
      </w:r>
      <w:r>
        <w:rPr>
          <w:rFonts w:ascii="Times New Roman" w:hAnsi="Times New Roman"/>
          <w:i w:val="1"/>
          <w:sz w:val="24"/>
          <w:szCs w:val="24"/>
        </w:rPr>
        <w:t xml:space="preserve">                                                   (</w:t>
      </w:r>
      <w:r>
        <w:rPr>
          <w:rFonts w:ascii="Times New Roman" w:hAnsi="Times New Roman"/>
          <w:i w:val="1"/>
          <w:sz w:val="20"/>
          <w:szCs w:val="20"/>
        </w:rPr>
        <w:t xml:space="preserve">посада уповноваженої особи)                                                                                                      </w:t>
      </w:r>
      <w:r>
        <w:rPr>
          <w:rFonts w:ascii="Times New Roman" w:hAnsi="Times New Roman"/>
          <w:i w:val="1"/>
          <w:sz w:val="20"/>
          <w:szCs w:val="20"/>
        </w:rPr>
        <w:t xml:space="preserve"> (</w:t>
      </w:r>
      <w:r>
        <w:rPr>
          <w:rFonts w:ascii="Times New Roman" w:hAnsi="Times New Roman"/>
          <w:i w:val="1"/>
          <w:smallCaps w:val="0"/>
          <w:sz w:val="20"/>
          <w:szCs w:val="22"/>
          <w:cs w:val="0"/>
          <w:spacing w:val="0"/>
          <w:w w:val="100"/>
          <w:position w:val="0"/>
          <w:snapToGrid w:val="1"/>
        </w:rPr>
        <w:t xml:space="preserve">власне </w:t>
      </w:r>
      <w:r>
        <w:rPr>
          <w:rFonts w:ascii="Times New Roman" w:hAnsi="Times New Roman"/>
          <w:i w:val="1"/>
          <w:sz w:val="20"/>
          <w:szCs w:val="20"/>
        </w:rPr>
        <w:t>ім’я, прізвище)</w:t>
      </w:r>
      <w:r>
        <w:rPr>
          <w:rFonts w:ascii="Times New Roman" w:hAnsi="Times New Roman"/>
          <w:i w:val="1"/>
          <w:sz w:val="24"/>
          <w:szCs w:val="24"/>
        </w:rPr>
        <w:t xml:space="preserve">                </w:t>
      </w:r>
      <w:r>
        <w:rPr>
          <w:rFonts w:ascii="Times New Roman" w:hAnsi="Times New Roman"/>
          <w:i w:val="1"/>
        </w:rPr>
        <w:t xml:space="preserve">          </w:t>
      </w:r>
      <w:r>
        <w:rPr>
          <w:rFonts w:ascii="Times New Roman" w:hAnsi="Times New Roman"/>
          <w:i w:val="1"/>
          <w:sz w:val="24"/>
          <w:szCs w:val="24"/>
        </w:rPr>
        <w:t xml:space="preserve">                    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rPr>
          <w:rFonts w:ascii="Times New Roman" w:hAnsi="Times New Roman"/>
          <w:i w:val="1"/>
          <w:sz w:val="16"/>
          <w:szCs w:val="16"/>
        </w:rPr>
      </w:pPr>
      <w:r>
        <w:br w:type="page"/>
      </w:r>
    </w:p>
    <w:p>
      <w:pPr>
        <w:shd w:val="clear" w:fill="FFFFFF"/>
        <w:spacing w:lineRule="auto" w:line="240" w:after="0" w:beforeAutospacing="0" w:afterAutospacing="0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12</w:t>
      </w:r>
    </w:p>
    <w:p>
      <w:pPr>
        <w:spacing w:lineRule="auto" w:line="240" w:after="240" w:beforeAutospacing="0" w:afterAutospacing="0"/>
        <w:ind w:left="567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>
      <w:pPr>
        <w:spacing w:lineRule="auto" w:line="240" w:after="240"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 w:val="1"/>
        </w:rPr>
        <w:drawing>
          <wp:inline xmlns:wp="http://schemas.openxmlformats.org/drawingml/2006/wordprocessingDrawing" distT="0" distB="0" distL="0" distR="0">
            <wp:extent cx="467995" cy="531495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31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240" w:after="240"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  <w:br w:type="textWrapping"/>
      </w:r>
      <w:r>
        <w:rPr>
          <w:rFonts w:ascii="Times New Roman" w:hAnsi="Times New Roman"/>
          <w:i w:val="1"/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 А К А З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Про заміну адвоката/ працівника _____________________________________,</w:t>
      </w:r>
    </w:p>
    <w:p>
      <w:pPr>
        <w:spacing w:lineRule="auto" w:line="240" w:after="0" w:beforeAutospacing="0" w:afterAutospacing="0"/>
        <w:ind w:right="4820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(найменування міжрегіонального центру з надання безоплатної</w:t>
      </w:r>
    </w:p>
    <w:p>
      <w:pPr>
        <w:spacing w:lineRule="auto" w:line="240" w:after="0" w:beforeAutospacing="0" w:afterAutospacing="0"/>
        <w:ind w:right="482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правничої допомоги)</w:t>
      </w:r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який надає безоплатну вторинну правничу допомогу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Відповідно до пункту 11 частини першої статті 17 Закону України «Про безоплатну правничу допомогу», пункту 9 частини першої статті 17, статті 24 Закону України «Про безоплатну правничу допомогу», підпункту 8 пункту 8, підпункту 15 пункту 9 Положення про центри з надання безоплатної правничої допомоги, затвердженого наказом Міністерства юстиції України від 02 липня 2012 року № 967/5, зареєстрованого в Міністерстві юстиції України 03 липня 2012 року за № 1091/21403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НАКАЗУЮ:</w:t>
      </w:r>
    </w:p>
    <w:p>
      <w:pPr>
        <w:numPr>
          <w:ilvl w:val="0"/>
          <w:numId w:val="3"/>
        </w:numPr>
        <w:spacing w:lineRule="auto" w:line="240" w:after="0" w:beforeAutospacing="0" w:afterAutospacing="0"/>
        <w:ind w:firstLine="851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Здійснити заміну адвоката/</w:t>
      </w:r>
      <w:r>
        <w:rPr>
          <w:rFonts w:ascii="Times New Roman" w:hAnsi="Times New Roman"/>
          <w:b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працівника _____________________________________</w:t>
      </w:r>
    </w:p>
    <w:p>
      <w:pPr>
        <w:spacing w:lineRule="auto" w:line="240" w:after="0" w:beforeAutospacing="0" w:afterAutospacing="0"/>
        <w:ind w:left="5664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(найменування міжрегіонального центру)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(прізвище, ім’я, по батькові адвоката/ працівника центру)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який надає безоплатну вторинну правничу допомогу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(прізвище, ім’я, по батькові особи, якій надається безоплатна вторинна правнича допомога, у давальному відмінку)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дорученням для надання безоплатної вторинної правничої допомоги від «____» ________________ 20__ року № ___________ (далі – доручення)/ наказом __________________________________________________________________________________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</w:t>
      </w:r>
      <w:r>
        <w:rPr>
          <w:rFonts w:ascii="Times New Roman" w:hAnsi="Times New Roman"/>
          <w:i w:val="1"/>
          <w:sz w:val="14"/>
          <w:szCs w:val="14"/>
        </w:rPr>
        <w:t xml:space="preserve">(найменування міжрегіонального  центру)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від «____» _________ 20__ року № ___________ </w:t>
      </w:r>
      <w:r>
        <w:rPr>
          <w:rFonts w:ascii="Times New Roman" w:hAnsi="Times New Roman"/>
        </w:rPr>
        <w:t>____________________________________________</w:t>
      </w:r>
    </w:p>
    <w:p>
      <w:pPr>
        <w:spacing w:lineRule="auto" w:line="240" w:after="0" w:beforeAutospacing="0" w:afterAutospacing="0"/>
        <w:ind w:firstLine="707" w:left="5664"/>
        <w:jc w:val="both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(назва відповідного наказу)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(далі – наказ про уповноваження працівника), у зв’язку з _________________________________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(зазначається підстава заміни адвоката/ працівника центру)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0" w:leader="none"/>
        </w:tabs>
        <w:spacing w:lineRule="auto" w:line="240" w:after="0" w:beforeAutospacing="0" w:afterAutospacing="0"/>
        <w:ind w:firstLine="851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зв’язку із заміною адвоката/працівника припинити дію доручення/ наказу про уповноваження працівника, зазначеного в пункті 1 цього наказу.</w:t>
      </w:r>
    </w:p>
    <w:p>
      <w:pPr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0" w:leader="none"/>
        </w:tabs>
        <w:spacing w:lineRule="auto" w:line="240" w:after="0" w:beforeAutospacing="0" w:afterAutospacing="0"/>
        <w:ind w:firstLine="708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347" w:left="17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 w:val="1"/>
          <w:color w:val="000000"/>
          <w:sz w:val="16"/>
          <w:szCs w:val="16"/>
        </w:rPr>
        <w:t xml:space="preserve">(найменування структурного підрозділу  міжрегіонального центру у давальному відмінку)</w:t>
      </w:r>
    </w:p>
    <w:p>
      <w:pPr>
        <w:tabs>
          <w:tab w:val="left" w:pos="0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забезпечити безперервність надання безоплатної вторинної правничої допомоги</w:t>
      </w:r>
    </w:p>
    <w:p>
      <w:pPr>
        <w:tabs>
          <w:tab w:val="left" w:pos="0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left="10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 w:val="1"/>
          <w:color w:val="000000"/>
          <w:sz w:val="16"/>
          <w:szCs w:val="16"/>
        </w:rPr>
        <w:t>(прізвище, ім’я, по батькові особи, якій надається безоплатна вторинна правнича допомога, у давальному відмінку)</w:t>
      </w:r>
    </w:p>
    <w:p>
      <w:pPr>
        <w:tabs>
          <w:tab w:val="left" w:pos="0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шляхом призначення іншого адвоката та видання такому адвокату відповідного доручення/ уповноваження іншого працівника для надання такої допомоги та видання відповідного наказу.</w:t>
      </w:r>
    </w:p>
    <w:p>
      <w:pPr>
        <w:numPr>
          <w:ilvl w:val="0"/>
          <w:numId w:val="3"/>
        </w:numPr>
        <w:spacing w:lineRule="auto" w:line="240" w:after="0" w:beforeAutospacing="0" w:afterAutospacing="0"/>
        <w:ind w:firstLine="708"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виконанням цього наказу покласти на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20"/>
          <w:szCs w:val="20"/>
        </w:rPr>
      </w:pPr>
      <w:r>
        <w:rPr>
          <w:rFonts w:ascii="Times New Roman" w:hAnsi="Times New Roman"/>
          <w:i w:val="1"/>
          <w:sz w:val="16"/>
          <w:szCs w:val="16"/>
        </w:rPr>
        <w:t>(посада, прізвище, ім’я та по батькові працівника центру)</w:t>
      </w: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b w:val="1"/>
          <w:sz w:val="24"/>
          <w:szCs w:val="24"/>
        </w:rPr>
        <w:t xml:space="preserve">__________________________                                                                       __________________                                           </w:t>
      </w:r>
      <w:r>
        <w:rPr>
          <w:rFonts w:ascii="Times New Roman" w:hAnsi="Times New Roman"/>
          <w:i w:val="1"/>
          <w:sz w:val="24"/>
          <w:szCs w:val="24"/>
        </w:rPr>
        <w:t xml:space="preserve">                                                   (</w:t>
      </w:r>
      <w:r>
        <w:rPr>
          <w:rFonts w:ascii="Times New Roman" w:hAnsi="Times New Roman"/>
          <w:i w:val="1"/>
          <w:sz w:val="20"/>
          <w:szCs w:val="20"/>
        </w:rPr>
        <w:t xml:space="preserve">посада уповноваженої особи)                                                                                                             (</w:t>
      </w:r>
      <w:r>
        <w:rPr>
          <w:rFonts w:ascii="Times New Roman" w:hAnsi="Times New Roman"/>
          <w:i w:val="1"/>
          <w:smallCaps w:val="0"/>
          <w:sz w:val="20"/>
          <w:szCs w:val="22"/>
          <w:cs w:val="0"/>
          <w:spacing w:val="0"/>
          <w:w w:val="100"/>
          <w:position w:val="0"/>
          <w:snapToGrid w:val="1"/>
        </w:rPr>
        <w:t xml:space="preserve">власне </w:t>
      </w:r>
      <w:r>
        <w:rPr>
          <w:rFonts w:ascii="Times New Roman" w:hAnsi="Times New Roman"/>
          <w:i w:val="1"/>
          <w:sz w:val="20"/>
          <w:szCs w:val="20"/>
        </w:rPr>
        <w:t>ім’я, прізвище)</w:t>
      </w:r>
      <w:r>
        <w:rPr>
          <w:rFonts w:ascii="Times New Roman" w:hAnsi="Times New Roman"/>
          <w:i w:val="1"/>
          <w:sz w:val="24"/>
          <w:szCs w:val="24"/>
        </w:rPr>
        <w:t xml:space="preserve">           </w:t>
      </w:r>
    </w:p>
    <w:p>
      <w:pPr>
        <w:shd w:val="clear" w:fill="FFFFFF"/>
        <w:spacing w:lineRule="auto" w:line="240" w:after="0" w:beforeAutospacing="0" w:afterAutospacing="0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13</w:t>
      </w:r>
    </w:p>
    <w:p>
      <w:pPr>
        <w:spacing w:lineRule="auto" w:line="240" w:after="0" w:beforeAutospacing="0" w:afterAutospacing="0"/>
        <w:ind w:left="567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 w:val="1"/>
        </w:rPr>
        <w:drawing>
          <wp:inline xmlns:wp="http://schemas.openxmlformats.org/drawingml/2006/wordprocessingDrawing" distT="0" distB="0" distL="0" distR="0">
            <wp:extent cx="467995" cy="531495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531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  <w:br w:type="textWrapping"/>
      </w:r>
      <w:r>
        <w:rPr>
          <w:rFonts w:ascii="Times New Roman" w:hAnsi="Times New Roman"/>
          <w:i w:val="1"/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 А К А З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  <w:bookmarkStart w:id="0" w:name="_GoBack"/>
      <w:bookmarkEnd w:id="0"/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Про припинення надання безоплатної</w:t>
      </w:r>
    </w:p>
    <w:p>
      <w:pPr>
        <w:spacing w:lineRule="auto" w:line="240" w:after="0" w:beforeAutospacing="0" w:afterAutospacing="0"/>
        <w:ind w:right="4818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вторинної правничої допомоги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Відповідно до пункту 13 частини першої статті 17, статті 23 Закону України «Про безоплатну правничу допомогу», підпункту 8 пункту 8 Положення про центри з надання безоплатної правничої допомоги, затвердженого наказом Міністерства юстиції України від 02 липня 2012 року № 967/5, зареєстрованого в Міністерстві юстиції України 03 липня 2012 року за № 1091/21403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НАКАЗУЮ: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Припинити надання безоплатної вторинної правничої допомоги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(прізвище, ім’я, по батькові особи, якій надається безоплатна вторинна правнича допомога, у давальному відмінку)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дорученням міжрегіонального центру для надання безоплатної правничої допомоги від «____» __________ 20__ року № ____-_______ (далі – доручення)/ наказом __________________________________________________________________________________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16"/>
          <w:szCs w:val="14"/>
        </w:rPr>
      </w:pPr>
      <w:bookmarkStart w:id="1" w:name="_heading=h.gjdgxs"/>
      <w:bookmarkEnd w:id="1"/>
      <w:r>
        <w:rPr>
          <w:rFonts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ascii="Times New Roman" w:hAnsi="Times New Roman"/>
          <w:sz w:val="16"/>
          <w:szCs w:val="24"/>
        </w:rPr>
        <w:t xml:space="preserve"> </w:t>
      </w:r>
      <w:r>
        <w:rPr>
          <w:rFonts w:ascii="Times New Roman" w:hAnsi="Times New Roman"/>
          <w:i w:val="1"/>
          <w:sz w:val="16"/>
          <w:szCs w:val="14"/>
        </w:rPr>
        <w:t>(найменування міжрегіонального центру)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від «____» _________ 20__ року № ___________ </w:t>
      </w:r>
      <w:r>
        <w:rPr>
          <w:rFonts w:ascii="Times New Roman" w:hAnsi="Times New Roman"/>
        </w:rPr>
        <w:t>____________________________________________</w:t>
      </w:r>
      <w:r>
        <w:rPr>
          <w:rFonts w:ascii="Times New Roman" w:hAnsi="Times New Roman"/>
        </w:rPr>
        <w:t>____________________________________________</w:t>
      </w:r>
    </w:p>
    <w:p>
      <w:pPr>
        <w:spacing w:lineRule="auto" w:line="240" w:after="0" w:beforeAutospacing="0" w:afterAutospacing="0"/>
        <w:ind w:firstLine="0" w:left="0"/>
        <w:jc w:val="both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 xml:space="preserve">                                 </w:t>
      </w:r>
      <w:r>
        <w:rPr>
          <w:rFonts w:ascii="Times New Roman" w:hAnsi="Times New Roman"/>
          <w:i w:val="1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 xml:space="preserve">                                                              </w:t>
      </w:r>
      <w:r>
        <w:rPr>
          <w:rFonts w:ascii="Times New Roman" w:hAnsi="Times New Roman"/>
          <w:i w:val="1"/>
          <w:smallCaps w:val="0"/>
          <w:sz w:val="16"/>
          <w:szCs w:val="22"/>
          <w:cs w:val="0"/>
          <w:spacing w:val="0"/>
          <w:w w:val="100"/>
          <w:position w:val="0"/>
          <w:snapToGrid w:val="1"/>
        </w:rPr>
        <w:t xml:space="preserve"> </w:t>
      </w:r>
      <w:r>
        <w:rPr>
          <w:rFonts w:ascii="Times New Roman" w:hAnsi="Times New Roman"/>
          <w:i w:val="1"/>
          <w:sz w:val="16"/>
          <w:szCs w:val="16"/>
        </w:rPr>
        <w:t>(назва відповідного наказу)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(далі – наказ про уповноваження працівника) у зв’язку з __________________________________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i w:val="1"/>
          <w:sz w:val="16"/>
          <w:szCs w:val="16"/>
        </w:rPr>
      </w:pPr>
      <w:r>
        <w:rPr>
          <w:rFonts w:ascii="Times New Roman" w:hAnsi="Times New Roman"/>
          <w:i w:val="1"/>
          <w:sz w:val="16"/>
          <w:szCs w:val="16"/>
        </w:rPr>
        <w:t>(зазначається підстава припинення надання безоплатної вторинної правничої допомоги)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i w:val="1"/>
          <w:sz w:val="24"/>
          <w:szCs w:val="24"/>
        </w:rPr>
      </w:pPr>
    </w:p>
    <w:p>
      <w:pPr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0" w:leader="none"/>
        </w:tabs>
        <w:spacing w:lineRule="auto" w:line="240" w:after="0" w:beforeAutospacing="0" w:afterAutospacing="0"/>
        <w:ind w:firstLine="851"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зв’язку з припиненням надання безоплатної вторинної правничої допомоги припинити дію доручення/ наказу про уповноваження працівника, зазначеного в пункті 1 цього наказу.</w:t>
      </w:r>
    </w:p>
    <w:p>
      <w:pPr>
        <w:tabs>
          <w:tab w:val="left" w:pos="0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numPr>
          <w:ilvl w:val="0"/>
          <w:numId w:val="1"/>
        </w:numPr>
        <w:spacing w:lineRule="auto" w:line="240" w:after="0" w:beforeAutospacing="0" w:afterAutospacing="0"/>
        <w:ind w:firstLine="708"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виконанням цього наказу покласти на_______________________________________________________________________________</w:t>
        <w:tab/>
        <w:t xml:space="preserve">                              </w:t>
      </w:r>
      <w:r>
        <w:rPr>
          <w:rFonts w:ascii="Times New Roman" w:hAnsi="Times New Roman"/>
          <w:i w:val="1"/>
          <w:sz w:val="16"/>
          <w:szCs w:val="16"/>
        </w:rPr>
        <w:t>(посада, прізвище, ім’я та по батькові працівника міжрегіонального центру )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i w:val="1"/>
          <w:sz w:val="20"/>
          <w:szCs w:val="20"/>
        </w:rPr>
      </w:pPr>
      <w:r>
        <w:rPr>
          <w:rFonts w:ascii="Times New Roman" w:hAnsi="Times New Roman"/>
          <w:b w:val="1"/>
          <w:sz w:val="24"/>
          <w:szCs w:val="24"/>
        </w:rPr>
        <w:t xml:space="preserve">__________________________                                                                       __________________                                           </w:t>
      </w:r>
      <w:r>
        <w:rPr>
          <w:rFonts w:ascii="Times New Roman" w:hAnsi="Times New Roman"/>
          <w:i w:val="1"/>
          <w:sz w:val="24"/>
          <w:szCs w:val="24"/>
        </w:rPr>
        <w:t xml:space="preserve">                                                   (</w:t>
      </w:r>
      <w:r>
        <w:rPr>
          <w:rFonts w:ascii="Times New Roman" w:hAnsi="Times New Roman"/>
          <w:i w:val="1"/>
          <w:sz w:val="20"/>
          <w:szCs w:val="20"/>
        </w:rPr>
        <w:t xml:space="preserve">посада уповноваженої особи)                                                                                                     </w:t>
      </w:r>
      <w:r>
        <w:rPr>
          <w:rFonts w:ascii="Times New Roman" w:hAnsi="Times New Roman"/>
          <w:i w:val="1"/>
          <w:sz w:val="20"/>
          <w:szCs w:val="20"/>
        </w:rPr>
        <w:t xml:space="preserve">   (</w:t>
      </w:r>
      <w:r>
        <w:rPr>
          <w:rFonts w:ascii="Times New Roman" w:hAnsi="Times New Roman"/>
          <w:i w:val="1"/>
          <w:smallCaps w:val="0"/>
          <w:sz w:val="20"/>
          <w:szCs w:val="22"/>
          <w:cs w:val="0"/>
          <w:spacing w:val="0"/>
          <w:w w:val="100"/>
          <w:position w:val="0"/>
          <w:snapToGrid w:val="1"/>
        </w:rPr>
        <w:t xml:space="preserve">власне </w:t>
      </w:r>
      <w:r>
        <w:rPr>
          <w:rFonts w:ascii="Times New Roman" w:hAnsi="Times New Roman"/>
          <w:i w:val="1"/>
          <w:sz w:val="20"/>
          <w:szCs w:val="20"/>
        </w:rPr>
        <w:t>ім’я, прізвище)</w:t>
      </w:r>
      <w:r>
        <w:rPr>
          <w:rFonts w:ascii="Times New Roman" w:hAnsi="Times New Roman"/>
          <w:i w:val="1"/>
          <w:sz w:val="24"/>
          <w:szCs w:val="24"/>
        </w:rPr>
        <w:t xml:space="preserve">                </w:t>
      </w:r>
      <w:r>
        <w:rPr>
          <w:rFonts w:ascii="Times New Roman" w:hAnsi="Times New Roman"/>
          <w:i w:val="1"/>
        </w:rPr>
        <w:t xml:space="preserve">          </w:t>
      </w:r>
      <w:r>
        <w:rPr>
          <w:rFonts w:ascii="Times New Roman" w:hAnsi="Times New Roman"/>
          <w:i w:val="1"/>
          <w:sz w:val="24"/>
          <w:szCs w:val="24"/>
        </w:rPr>
        <w:t xml:space="preserve">                     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ind w:left="6237"/>
        <w:jc w:val="center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ind w:left="6237"/>
        <w:jc w:val="center"/>
        <w:rPr>
          <w:rFonts w:ascii="Times New Roman" w:hAnsi="Times New Roman"/>
          <w:sz w:val="18"/>
          <w:szCs w:val="18"/>
        </w:rPr>
      </w:pPr>
    </w:p>
    <w:sectPr>
      <w:type w:val="nextPage"/>
      <w:pgSz w:w="11906" w:h="16838" w:code="0"/>
      <w:pgMar w:left="1134" w:right="851" w:top="426" w:bottom="426" w:header="709" w:footer="709" w:gutter="0"/>
      <w:pgNumType w:start="1" w:chapSep="period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AF83724"/>
    <w:multiLevelType w:val="multilevel"/>
    <w:lvl w:ilvl="0">
      <w:start w:val="1"/>
      <w:numFmt w:val="decimal"/>
      <w:suff w:val="tab"/>
      <w:lvlText w:val="%1."/>
      <w:lvlJc w:val="left"/>
      <w:pPr>
        <w:ind w:hanging="360" w:left="1068"/>
      </w:pPr>
      <w:rPr/>
    </w:lvl>
    <w:lvl w:ilvl="1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>
      <w:start w:val="1"/>
      <w:numFmt w:val="decimal"/>
      <w:suff w:val="tab"/>
      <w:lvlText w:val="%4."/>
      <w:lvlJc w:val="left"/>
      <w:pPr>
        <w:ind w:hanging="360" w:left="3228"/>
      </w:pPr>
      <w:rPr/>
    </w:lvl>
    <w:lvl w:ilvl="4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>
      <w:start w:val="1"/>
      <w:numFmt w:val="decimal"/>
      <w:suff w:val="tab"/>
      <w:lvlText w:val="%7."/>
      <w:lvlJc w:val="left"/>
      <w:pPr>
        <w:ind w:hanging="360" w:left="5388"/>
      </w:pPr>
      <w:rPr/>
    </w:lvl>
    <w:lvl w:ilvl="7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1">
    <w:nsid w:val="4ACA5E76"/>
    <w:multiLevelType w:val="multilevel"/>
    <w:lvl w:ilvl="0">
      <w:start w:val="1"/>
      <w:numFmt w:val="decimal"/>
      <w:suff w:val="tab"/>
      <w:lvlText w:val="%1."/>
      <w:lvlJc w:val="left"/>
      <w:pPr>
        <w:ind w:hanging="360" w:left="1068"/>
      </w:pPr>
      <w:rPr/>
    </w:lvl>
    <w:lvl w:ilvl="1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>
      <w:start w:val="1"/>
      <w:numFmt w:val="decimal"/>
      <w:suff w:val="tab"/>
      <w:lvlText w:val="%4."/>
      <w:lvlJc w:val="left"/>
      <w:pPr>
        <w:ind w:hanging="360" w:left="3228"/>
      </w:pPr>
      <w:rPr/>
    </w:lvl>
    <w:lvl w:ilvl="4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>
      <w:start w:val="1"/>
      <w:numFmt w:val="decimal"/>
      <w:suff w:val="tab"/>
      <w:lvlText w:val="%7."/>
      <w:lvlJc w:val="left"/>
      <w:pPr>
        <w:ind w:hanging="360" w:left="5388"/>
      </w:pPr>
      <w:rPr/>
    </w:lvl>
    <w:lvl w:ilvl="7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abstractNum w:abstractNumId="2">
    <w:nsid w:val="74361765"/>
    <w:multiLevelType w:val="multilevel"/>
    <w:lvl w:ilvl="0">
      <w:start w:val="1"/>
      <w:numFmt w:val="decimal"/>
      <w:suff w:val="tab"/>
      <w:lvlText w:val="%1."/>
      <w:lvlJc w:val="left"/>
      <w:pPr>
        <w:ind w:hanging="360" w:left="1068"/>
      </w:pPr>
      <w:rPr/>
    </w:lvl>
    <w:lvl w:ilvl="1">
      <w:start w:val="1"/>
      <w:numFmt w:val="lowerLetter"/>
      <w:suff w:val="tab"/>
      <w:lvlText w:val="%2."/>
      <w:lvlJc w:val="left"/>
      <w:pPr>
        <w:ind w:hanging="360" w:left="1788"/>
      </w:pPr>
      <w:rPr/>
    </w:lvl>
    <w:lvl w:ilvl="2">
      <w:start w:val="1"/>
      <w:numFmt w:val="lowerRoman"/>
      <w:suff w:val="tab"/>
      <w:lvlText w:val="%3."/>
      <w:lvlJc w:val="right"/>
      <w:pPr>
        <w:ind w:hanging="180" w:left="2508"/>
      </w:pPr>
      <w:rPr/>
    </w:lvl>
    <w:lvl w:ilvl="3">
      <w:start w:val="1"/>
      <w:numFmt w:val="decimal"/>
      <w:suff w:val="tab"/>
      <w:lvlText w:val="%4."/>
      <w:lvlJc w:val="left"/>
      <w:pPr>
        <w:ind w:hanging="360" w:left="3228"/>
      </w:pPr>
      <w:rPr/>
    </w:lvl>
    <w:lvl w:ilvl="4">
      <w:start w:val="1"/>
      <w:numFmt w:val="lowerLetter"/>
      <w:suff w:val="tab"/>
      <w:lvlText w:val="%5."/>
      <w:lvlJc w:val="left"/>
      <w:pPr>
        <w:ind w:hanging="360" w:left="3948"/>
      </w:pPr>
      <w:rPr/>
    </w:lvl>
    <w:lvl w:ilvl="5">
      <w:start w:val="1"/>
      <w:numFmt w:val="lowerRoman"/>
      <w:suff w:val="tab"/>
      <w:lvlText w:val="%6."/>
      <w:lvlJc w:val="right"/>
      <w:pPr>
        <w:ind w:hanging="180" w:left="4668"/>
      </w:pPr>
      <w:rPr/>
    </w:lvl>
    <w:lvl w:ilvl="6">
      <w:start w:val="1"/>
      <w:numFmt w:val="decimal"/>
      <w:suff w:val="tab"/>
      <w:lvlText w:val="%7."/>
      <w:lvlJc w:val="left"/>
      <w:pPr>
        <w:ind w:hanging="360" w:left="5388"/>
      </w:pPr>
      <w:rPr/>
    </w:lvl>
    <w:lvl w:ilvl="7">
      <w:start w:val="1"/>
      <w:numFmt w:val="lowerLetter"/>
      <w:suff w:val="tab"/>
      <w:lvlText w:val="%8."/>
      <w:lvlJc w:val="left"/>
      <w:pPr>
        <w:ind w:hanging="360" w:left="6108"/>
      </w:pPr>
      <w:rPr/>
    </w:lvl>
    <w:lvl w:ilvl="8">
      <w:start w:val="1"/>
      <w:numFmt w:val="lowerRoman"/>
      <w:suff w:val="tab"/>
      <w:lvlText w:val="%9."/>
      <w:lvlJc w:val="right"/>
      <w:pPr>
        <w:ind w:hanging="180" w:left="6828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  <w:szCs w:val="16"/>
    </w:rPr>
  </w:style>
  <w:style w:type="paragraph" w:styleId="P9">
    <w:name w:val="List Paragraph"/>
    <w:basedOn w:val="P0"/>
    <w:qFormat/>
    <w:pPr>
      <w:ind w:left="720"/>
      <w:contextualSpacing w:val="1"/>
    </w:pPr>
    <w:rPr/>
  </w:style>
  <w:style w:type="paragraph" w:styleId="P10">
    <w:name w:val="annotation text"/>
    <w:basedOn w:val="P0"/>
    <w:link w:val="C5"/>
    <w:pPr>
      <w:spacing w:lineRule="auto" w:line="240" w:beforeAutospacing="0" w:afterAutospacing="0"/>
    </w:pPr>
    <w:rPr>
      <w:sz w:val="20"/>
      <w:szCs w:val="20"/>
    </w:rPr>
  </w:style>
  <w:style w:type="paragraph" w:styleId="P11">
    <w:name w:val="annotation subject"/>
    <w:basedOn w:val="P10"/>
    <w:next w:val="P10"/>
    <w:link w:val="C6"/>
    <w:pPr/>
    <w:rPr>
      <w:b w:val="1"/>
      <w:bCs w:val="1"/>
    </w:rPr>
  </w:style>
  <w:style w:type="paragraph" w:styleId="P12">
    <w:name w:val="Revision"/>
    <w:hidden/>
    <w:semiHidden/>
    <w:pPr>
      <w:spacing w:lineRule="auto" w:line="240" w:after="0" w:beforeAutospacing="0" w:afterAutospacing="0"/>
    </w:pPr>
    <w:rPr/>
  </w:style>
  <w:style w:type="paragraph" w:styleId="P13">
    <w:name w:val="Subtitle"/>
    <w:basedOn w:val="P0"/>
    <w:next w:val="P0"/>
    <w:pPr>
      <w:keepNext w:val="1"/>
      <w:keepLines w:val="1"/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у виносці Знак"/>
    <w:basedOn w:val="C0"/>
    <w:link w:val="P8"/>
    <w:semiHidden/>
    <w:rPr>
      <w:rFonts w:ascii="Tahoma" w:hAnsi="Tahoma"/>
      <w:sz w:val="16"/>
      <w:szCs w:val="16"/>
    </w:rPr>
  </w:style>
  <w:style w:type="character" w:styleId="C4">
    <w:name w:val="annotation reference"/>
    <w:basedOn w:val="C0"/>
    <w:rPr>
      <w:sz w:val="16"/>
      <w:szCs w:val="16"/>
    </w:rPr>
  </w:style>
  <w:style w:type="character" w:styleId="C5">
    <w:name w:val="Текст примітки Знак"/>
    <w:basedOn w:val="C0"/>
    <w:link w:val="P10"/>
    <w:rPr>
      <w:sz w:val="20"/>
      <w:szCs w:val="20"/>
    </w:rPr>
  </w:style>
  <w:style w:type="character" w:styleId="C6">
    <w:name w:val="Тема примітки Знак"/>
    <w:basedOn w:val="C5"/>
    <w:link w:val="P11"/>
    <w:rPr>
      <w:b w:val="1"/>
      <w:bCs w:val="1"/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Yncxa3zgZ1HhRHVwWLNit0niw==">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МЕРЕДОВА Ганна</dc:creator>
  <dcterms:created xsi:type="dcterms:W3CDTF">2024-09-26T14:47:00Z</dcterms:created>
  <cp:lastModifiedBy>ASKOD</cp:lastModifiedBy>
  <dcterms:modified xsi:type="dcterms:W3CDTF">2024-10-01T13:15:16Z</dcterms:modified>
  <cp:revision>4</cp:revision>
</cp:coreProperties>
</file>