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B12F73" w:rsidRDefault="00C74467" w:rsidP="00701D6A">
      <w:pPr>
        <w:jc w:val="center"/>
        <w:rPr>
          <w:b/>
        </w:rPr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очікуваної вартості предмета закупівлі </w:t>
      </w:r>
    </w:p>
    <w:p w:rsidR="007D2F9B" w:rsidRPr="00B12F73" w:rsidRDefault="008A770D" w:rsidP="00701D6A">
      <w:pPr>
        <w:jc w:val="center"/>
      </w:pPr>
      <w:r w:rsidRPr="008A770D">
        <w:t>«Послуги захищеного доступу до мережі Інтернет», код 72410000-7 (Послуги провайдерів) визначений відповідно до національного класифікатора України  ДК 021:2015  «Єдиний закупівельний словник»</w:t>
      </w:r>
    </w:p>
    <w:p w:rsidR="00F53B79" w:rsidRDefault="00C74467" w:rsidP="00C74467">
      <w:pPr>
        <w:ind w:firstLine="567"/>
        <w:jc w:val="both"/>
      </w:pPr>
      <w:r w:rsidRPr="00B12F73">
        <w:t>О</w:t>
      </w:r>
      <w:r w:rsidR="00701D6A" w:rsidRPr="00B12F73">
        <w:t>чікуван</w:t>
      </w:r>
      <w:r w:rsidRPr="00B12F73">
        <w:t>а</w:t>
      </w:r>
      <w:r w:rsidR="00701D6A" w:rsidRPr="00B12F73">
        <w:t xml:space="preserve"> варт</w:t>
      </w:r>
      <w:r w:rsidRPr="00B12F73">
        <w:t>ість</w:t>
      </w:r>
      <w:r w:rsidR="00701D6A" w:rsidRPr="00B12F73">
        <w:t xml:space="preserve"> </w:t>
      </w:r>
      <w:r w:rsidRPr="00B12F73">
        <w:rPr>
          <w:b/>
          <w:i/>
        </w:rPr>
        <w:t>Закупівлі</w:t>
      </w:r>
      <w:r w:rsidR="00701D6A" w:rsidRPr="00B12F73">
        <w:t xml:space="preserve"> </w:t>
      </w:r>
      <w:r w:rsidRPr="00B12F73">
        <w:t xml:space="preserve">визначена </w:t>
      </w:r>
      <w:r w:rsidR="00701D6A" w:rsidRPr="00B12F73">
        <w:t>у відповідності до наказу Міністерства розвитку економіки, торгівлі та сільського господарства України від 18</w:t>
      </w:r>
      <w:r w:rsidRPr="00B12F73">
        <w:t xml:space="preserve"> лютого </w:t>
      </w:r>
      <w:r w:rsidR="00701D6A" w:rsidRPr="00B12F73">
        <w:t>2020</w:t>
      </w:r>
      <w:r w:rsidRPr="00B12F73">
        <w:t xml:space="preserve"> року </w:t>
      </w:r>
      <w:r w:rsidR="00701D6A" w:rsidRPr="00B12F73">
        <w:t xml:space="preserve"> № 275</w:t>
      </w:r>
      <w:r w:rsidR="000D0A0D" w:rsidRPr="00B12F73">
        <w:t xml:space="preserve"> «Про затвердження примірної методики визначення очікуваної вартості предмета закупівлі»</w:t>
      </w:r>
      <w:r w:rsidR="00701D6A" w:rsidRPr="00B12F73">
        <w:t>.</w:t>
      </w:r>
      <w:r w:rsidR="00F53B79" w:rsidRPr="00F53B79">
        <w:t xml:space="preserve"> </w:t>
      </w:r>
    </w:p>
    <w:p w:rsidR="00701D6A" w:rsidRPr="00B12F73" w:rsidRDefault="00F53B79" w:rsidP="00C74467">
      <w:pPr>
        <w:ind w:firstLine="567"/>
        <w:jc w:val="both"/>
      </w:pPr>
      <w:r>
        <w:t>В</w:t>
      </w:r>
      <w:r w:rsidRPr="00F53B79">
        <w:t xml:space="preserve">изначення очікуваної вартості </w:t>
      </w:r>
      <w:r>
        <w:t xml:space="preserve">здійсненне </w:t>
      </w:r>
      <w:r w:rsidRPr="00F53B79">
        <w:t>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AF6E15" w:rsidRDefault="00701D6A" w:rsidP="00C74467">
      <w:pPr>
        <w:ind w:firstLine="567"/>
        <w:jc w:val="both"/>
      </w:pPr>
      <w:r w:rsidRPr="00B12F73">
        <w:t xml:space="preserve">За даною процедурою закупівлі планується закупівля </w:t>
      </w:r>
      <w:r w:rsidR="00E360BF">
        <w:t xml:space="preserve">послуг </w:t>
      </w:r>
      <w:r w:rsidR="008A770D" w:rsidRPr="008A770D">
        <w:t>захищеного доступу до мережі Інтернет</w:t>
      </w:r>
      <w:r w:rsidR="00F53B79">
        <w:t xml:space="preserve"> </w:t>
      </w:r>
      <w:r w:rsidRPr="00B12F73">
        <w:t xml:space="preserve">на загальну суму </w:t>
      </w:r>
      <w:r w:rsidR="00855566" w:rsidRPr="00855566">
        <w:t>124 880,00,00 грн (сто двадцять чотири тисячі  вісімсот вісімдеся</w:t>
      </w:r>
      <w:r w:rsidR="00855566">
        <w:t>т гривень, 00 коп.)</w:t>
      </w:r>
      <w:r w:rsidR="008A770D" w:rsidRPr="008A770D">
        <w:t>, разом з ПДВ</w:t>
      </w:r>
      <w:r w:rsidRPr="00B12F73">
        <w:t xml:space="preserve">, за кошти </w:t>
      </w:r>
      <w:r w:rsidR="00C74467" w:rsidRPr="00B12F73">
        <w:t>Державного бюджету України</w:t>
      </w:r>
      <w:r w:rsidR="00AF6E15" w:rsidRPr="00B12F73">
        <w:t>.</w:t>
      </w:r>
    </w:p>
    <w:p w:rsidR="00E360BF" w:rsidRPr="00B12F73" w:rsidRDefault="00E360BF" w:rsidP="00C74467">
      <w:pPr>
        <w:ind w:firstLine="567"/>
        <w:jc w:val="both"/>
      </w:pPr>
      <w:r w:rsidRPr="00E360BF">
        <w:t xml:space="preserve">Послуги плануються надаватися </w:t>
      </w:r>
      <w:r w:rsidR="00855566">
        <w:t>з 01.03.2025 до 31.12.2025</w:t>
      </w:r>
      <w:r w:rsidRPr="00E360BF">
        <w:t>.</w:t>
      </w:r>
    </w:p>
    <w:p w:rsidR="00701D6A" w:rsidRPr="00B12F73" w:rsidRDefault="00701D6A" w:rsidP="00C74467">
      <w:pPr>
        <w:ind w:firstLine="567"/>
        <w:jc w:val="both"/>
      </w:pPr>
    </w:p>
    <w:p w:rsidR="00701D6A" w:rsidRDefault="00701D6A" w:rsidP="00701D6A">
      <w:pPr>
        <w:jc w:val="both"/>
        <w:rPr>
          <w:sz w:val="28"/>
          <w:szCs w:val="28"/>
        </w:rPr>
      </w:pPr>
    </w:p>
    <w:p w:rsidR="00701D6A" w:rsidRPr="00701D6A" w:rsidRDefault="00701D6A" w:rsidP="00701D6A">
      <w:pPr>
        <w:pStyle w:val="a3"/>
        <w:ind w:left="0"/>
        <w:jc w:val="both"/>
        <w:rPr>
          <w:position w:val="1"/>
          <w:lang w:val="en-US"/>
        </w:rPr>
      </w:pPr>
    </w:p>
    <w:p w:rsidR="00701D6A" w:rsidRPr="00F66F81" w:rsidRDefault="00701D6A" w:rsidP="00701D6A">
      <w:pPr>
        <w:pStyle w:val="a3"/>
        <w:ind w:left="0"/>
        <w:jc w:val="both"/>
        <w:rPr>
          <w:position w:val="1"/>
        </w:rPr>
      </w:pPr>
    </w:p>
    <w:p w:rsidR="00701D6A" w:rsidRPr="00AF6E15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p w:rsidR="00AF6E15" w:rsidRPr="00B12F73" w:rsidRDefault="007C2B3E" w:rsidP="00AF6E15">
      <w:pPr>
        <w:jc w:val="center"/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кількісних та якісних характеристик предмета закупівлі</w:t>
      </w:r>
      <w:r w:rsidR="00701D6A" w:rsidRPr="00B12F73">
        <w:t xml:space="preserve"> </w:t>
      </w:r>
    </w:p>
    <w:p w:rsidR="006D6F98" w:rsidRDefault="008A770D" w:rsidP="00AF6E15">
      <w:pPr>
        <w:jc w:val="center"/>
      </w:pPr>
      <w:r w:rsidRPr="008A770D">
        <w:t>«Послуги захищеного доступу до мережі Інтернет», код 72410000-7 (Послуги провайдерів) визначений відповідно до національного класифікатора України  ДК 021:2015  «Єдиний закупівельний словник»</w:t>
      </w:r>
    </w:p>
    <w:p w:rsidR="00160418" w:rsidRDefault="00160418" w:rsidP="00AF6E15">
      <w:pPr>
        <w:jc w:val="center"/>
      </w:pPr>
    </w:p>
    <w:p w:rsidR="00160418" w:rsidRPr="00B12F73" w:rsidRDefault="00160418" w:rsidP="00160418">
      <w:pPr>
        <w:pStyle w:val="a3"/>
        <w:numPr>
          <w:ilvl w:val="0"/>
          <w:numId w:val="23"/>
        </w:numPr>
        <w:jc w:val="center"/>
      </w:pPr>
      <w:r>
        <w:t>Загальні вимоги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Послуги провайдерів за кодом ДК 021:2015–72410000-7, а саме послуги захищеного доступу до мережі Інтернет (далі - Послуги) повинні надаватися відповідно до чинних в Україні законодавчих та нормативних актів, зокрема:</w:t>
      </w:r>
    </w:p>
    <w:p w:rsidR="00160418" w:rsidRPr="00160418" w:rsidRDefault="00160418" w:rsidP="00160418">
      <w:pPr>
        <w:numPr>
          <w:ilvl w:val="0"/>
          <w:numId w:val="24"/>
        </w:numPr>
        <w:tabs>
          <w:tab w:val="left" w:pos="993"/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Закон України «Про електронні комунікації» від 16.12.2020 № 1089-IX;</w:t>
      </w:r>
    </w:p>
    <w:p w:rsidR="00160418" w:rsidRPr="00160418" w:rsidRDefault="00160418" w:rsidP="00160418">
      <w:pPr>
        <w:numPr>
          <w:ilvl w:val="0"/>
          <w:numId w:val="24"/>
        </w:numPr>
        <w:tabs>
          <w:tab w:val="left" w:pos="993"/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Указ Президента України «Про деякі заходи щодо захисту державних інформаційних ресурсів у мережах передачі даних» від 24.09.2001 №891;</w:t>
      </w:r>
    </w:p>
    <w:p w:rsidR="00160418" w:rsidRPr="00160418" w:rsidRDefault="00160418" w:rsidP="00160418">
      <w:pPr>
        <w:numPr>
          <w:ilvl w:val="0"/>
          <w:numId w:val="24"/>
        </w:numPr>
        <w:tabs>
          <w:tab w:val="left" w:pos="993"/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Наказ Адміністрації Державної служби спеціального зв’язку та захисту інформації України від 10.06.2008 №94 «</w:t>
      </w:r>
      <w:r w:rsidRPr="00160418">
        <w:rPr>
          <w:noProof/>
          <w:color w:val="212529"/>
          <w:shd w:val="clear" w:color="auto" w:fill="FFFFFF"/>
        </w:rPr>
        <w:t>Про затвердження Порядку координації діяльності органів державної влади, органів місцевого самоврядування, військових формувань, підприємств, 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</w:t>
      </w:r>
      <w:r w:rsidRPr="00160418">
        <w:rPr>
          <w:noProof/>
        </w:rPr>
        <w:t>», затвердженого в Міністерстві юстиції України 07 липня 2008 року за № 603/15294;</w:t>
      </w:r>
    </w:p>
    <w:p w:rsidR="00160418" w:rsidRPr="00160418" w:rsidRDefault="00160418" w:rsidP="00160418">
      <w:pPr>
        <w:numPr>
          <w:ilvl w:val="0"/>
          <w:numId w:val="24"/>
        </w:numPr>
        <w:tabs>
          <w:tab w:val="left" w:pos="993"/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Постанова Кабінету Міністрів України від 11.04.2012 №295 «Про затвердження Правил надання та отримання телекомунікаційних послуг», та інших нормативно-правових актів України у сфері телекомунікації.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Забезпечення високошвидкісного доступу до мережі Інтернет, шляхом власного оптоволоконного каналу зв’язку на гарантованих швидкостях 100 Мбіт/с та 20 Мбіт/с до українських та іноземних ресурсів.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Надання доступу до мережі Інтернет через захищений вузол, що відповідає вимогам нормативних документів систем технічного захисту інформації в обсязі функцій, зазначених у технічному завданні на комплексну систему захисту інформації захищеного вузла Інтернет доступу, що погоджене Адміністрацією Держспецзв’язку України.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Забезпечення захисту Інтернет трафіку від DDoS атак (розподілена атака на відмову в обслуговуванні).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lastRenderedPageBreak/>
        <w:t>Виділення трьох статичних IP адрес за адресою м. Київ, вул. Січових Стрільців ,73.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Можливість розширення ємкості каналу.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 xml:space="preserve">Розділення Інтернет-трафіку за логічними напрямами: український/іноземний ресурси, надання числової та графічної статистики завантаження трафіку (окремо: вхідний, вихідний). 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Цілодобова технічна підтримка: оповіщення щодо можливих випадків втрати зв’язку, профілактичних робіт, виїзду ремонтних бригад.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Строк надання послуг з 01 березня по 31 грудня 202</w:t>
      </w:r>
      <w:r w:rsidR="00855566">
        <w:rPr>
          <w:noProof/>
        </w:rPr>
        <w:t>5</w:t>
      </w:r>
      <w:r w:rsidRPr="00160418">
        <w:rPr>
          <w:noProof/>
        </w:rPr>
        <w:t xml:space="preserve"> року.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 xml:space="preserve"> Виконавець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Виконавця.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Зона відповідальності Виконавця при наданні Послуг –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</w:rPr>
        <w:t>Доступ до мережі Інтернет повинен здійснюватися за допомогою виділеного цифрового каналу передачі даних. Гарантована швидкість доступу до ресурсів мережі Інтернет, без обмеження трафіку.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Виконавець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Виконавець повинен забезпечити технічну підтримку каналу передачі даних, яка включає також постійний моніторинг каналу, діагностику причин відхилення від заданих технічних характеристик.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Інтерфейс для прийому послуг 100 Мбіт/с, Ethernet.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Послуги надаються в режимі: 24/7/365.</w:t>
      </w:r>
    </w:p>
    <w:p w:rsidR="00160418" w:rsidRPr="00160418" w:rsidRDefault="00160418" w:rsidP="00160418">
      <w:pPr>
        <w:numPr>
          <w:ilvl w:val="1"/>
          <w:numId w:val="2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Підключення до глобальної мережі Інтернет у синхронному симетричному режимі з пропускною  здатністю що вказана нижче і при необхідності мати можливість поетапного збільшення швидкості до 1Гбіт/с за вимогою Замовника.</w:t>
      </w:r>
    </w:p>
    <w:p w:rsidR="00160418" w:rsidRPr="00160418" w:rsidRDefault="00160418" w:rsidP="00160418">
      <w:pPr>
        <w:numPr>
          <w:ilvl w:val="1"/>
          <w:numId w:val="23"/>
        </w:numPr>
        <w:spacing w:after="160" w:line="259" w:lineRule="auto"/>
        <w:ind w:left="0" w:firstLine="567"/>
        <w:contextualSpacing/>
        <w:jc w:val="both"/>
        <w:rPr>
          <w:noProof/>
        </w:rPr>
      </w:pPr>
      <w:r w:rsidRPr="00160418">
        <w:rPr>
          <w:noProof/>
        </w:rPr>
        <w:t>відповідно адрес:</w:t>
      </w:r>
    </w:p>
    <w:p w:rsidR="00160418" w:rsidRPr="00160418" w:rsidRDefault="00160418" w:rsidP="00160418">
      <w:pPr>
        <w:numPr>
          <w:ilvl w:val="0"/>
          <w:numId w:val="26"/>
        </w:numPr>
        <w:tabs>
          <w:tab w:val="left" w:pos="851"/>
          <w:tab w:val="left" w:pos="3969"/>
          <w:tab w:val="left" w:pos="4678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</w:rPr>
        <w:t>м. Київ, вул. Січових Стрільців, 73.</w:t>
      </w:r>
      <w:r w:rsidRPr="00160418">
        <w:rPr>
          <w:b/>
          <w:noProof/>
        </w:rPr>
        <w:t xml:space="preserve"> -</w:t>
      </w:r>
      <w:r w:rsidRPr="00160418">
        <w:rPr>
          <w:b/>
          <w:noProof/>
          <w:lang w:val="ru-RU"/>
        </w:rPr>
        <w:t xml:space="preserve"> </w:t>
      </w:r>
      <w:r w:rsidRPr="00160418">
        <w:rPr>
          <w:noProof/>
        </w:rPr>
        <w:t>100 Мбіт/с;</w:t>
      </w:r>
    </w:p>
    <w:p w:rsidR="00160418" w:rsidRPr="00160418" w:rsidRDefault="00160418" w:rsidP="00160418">
      <w:pPr>
        <w:numPr>
          <w:ilvl w:val="0"/>
          <w:numId w:val="26"/>
        </w:numPr>
        <w:tabs>
          <w:tab w:val="left" w:pos="851"/>
          <w:tab w:val="left" w:pos="3969"/>
          <w:tab w:val="left" w:pos="4678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  <w:lang w:eastAsia="uk-UA"/>
        </w:rPr>
        <w:t>м. Одеса, вул. Велика Арнаутська, 61</w:t>
      </w:r>
      <w:r w:rsidRPr="00160418">
        <w:rPr>
          <w:noProof/>
        </w:rPr>
        <w:t>- 20 Мбіт/с;</w:t>
      </w:r>
    </w:p>
    <w:p w:rsidR="00160418" w:rsidRPr="00160418" w:rsidRDefault="00160418" w:rsidP="00160418">
      <w:pPr>
        <w:numPr>
          <w:ilvl w:val="0"/>
          <w:numId w:val="26"/>
        </w:numPr>
        <w:tabs>
          <w:tab w:val="left" w:pos="851"/>
          <w:tab w:val="left" w:pos="3969"/>
          <w:tab w:val="left" w:pos="4678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  <w:lang w:eastAsia="uk-UA"/>
        </w:rPr>
        <w:t>м. Львів, вул. Костомарова, 1/3</w:t>
      </w:r>
      <w:r w:rsidRPr="00160418">
        <w:rPr>
          <w:noProof/>
        </w:rPr>
        <w:t>- 20 Мбіт/с;</w:t>
      </w:r>
    </w:p>
    <w:p w:rsidR="00160418" w:rsidRPr="00160418" w:rsidRDefault="00160418" w:rsidP="00160418">
      <w:pPr>
        <w:numPr>
          <w:ilvl w:val="0"/>
          <w:numId w:val="26"/>
        </w:numPr>
        <w:tabs>
          <w:tab w:val="left" w:pos="851"/>
          <w:tab w:val="left" w:pos="3969"/>
          <w:tab w:val="left" w:pos="4678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  <w:lang w:eastAsia="uk-UA"/>
        </w:rPr>
        <w:t>м. Харків, пр-т Науки, 77</w:t>
      </w:r>
      <w:r w:rsidRPr="00160418">
        <w:rPr>
          <w:noProof/>
        </w:rPr>
        <w:t>- 20 Мбіт/с;</w:t>
      </w:r>
    </w:p>
    <w:p w:rsidR="00160418" w:rsidRPr="00160418" w:rsidRDefault="00160418" w:rsidP="00160418">
      <w:pPr>
        <w:numPr>
          <w:ilvl w:val="0"/>
          <w:numId w:val="26"/>
        </w:numPr>
        <w:tabs>
          <w:tab w:val="left" w:pos="851"/>
          <w:tab w:val="left" w:pos="3969"/>
          <w:tab w:val="left" w:pos="4678"/>
        </w:tabs>
        <w:spacing w:after="160" w:line="259" w:lineRule="auto"/>
        <w:ind w:left="0" w:firstLine="567"/>
        <w:contextualSpacing/>
        <w:jc w:val="both"/>
        <w:rPr>
          <w:b/>
          <w:noProof/>
        </w:rPr>
      </w:pPr>
      <w:r w:rsidRPr="00160418">
        <w:rPr>
          <w:noProof/>
          <w:lang w:eastAsia="uk-UA"/>
        </w:rPr>
        <w:t>м. Київ, Дмитрівська, 80</w:t>
      </w:r>
      <w:r w:rsidRPr="00160418">
        <w:rPr>
          <w:noProof/>
        </w:rPr>
        <w:t>- 20 Мбіт/с.</w:t>
      </w:r>
    </w:p>
    <w:p w:rsidR="00160418" w:rsidRPr="00160418" w:rsidRDefault="00160418" w:rsidP="00160418">
      <w:pPr>
        <w:tabs>
          <w:tab w:val="left" w:pos="3191"/>
        </w:tabs>
        <w:rPr>
          <w:b/>
          <w:noProof/>
        </w:rPr>
      </w:pPr>
      <w:r w:rsidRPr="00160418">
        <w:rPr>
          <w:b/>
          <w:noProof/>
        </w:rPr>
        <w:tab/>
      </w:r>
    </w:p>
    <w:p w:rsidR="00160418" w:rsidRPr="00160418" w:rsidRDefault="00160418" w:rsidP="00160418">
      <w:pPr>
        <w:numPr>
          <w:ilvl w:val="0"/>
          <w:numId w:val="27"/>
        </w:numPr>
        <w:spacing w:after="160" w:line="360" w:lineRule="auto"/>
        <w:contextualSpacing/>
        <w:jc w:val="center"/>
        <w:rPr>
          <w:color w:val="000000"/>
        </w:rPr>
      </w:pPr>
      <w:r w:rsidRPr="00160418">
        <w:rPr>
          <w:color w:val="000000"/>
        </w:rPr>
        <w:t>Вимоги до захищеного вузлу Інтернет доступу</w:t>
      </w:r>
    </w:p>
    <w:p w:rsidR="00160418" w:rsidRPr="00160418" w:rsidRDefault="00160418" w:rsidP="00160418">
      <w:pPr>
        <w:pStyle w:val="a3"/>
        <w:numPr>
          <w:ilvl w:val="1"/>
          <w:numId w:val="27"/>
        </w:numPr>
        <w:tabs>
          <w:tab w:val="left" w:pos="993"/>
        </w:tabs>
        <w:spacing w:after="160" w:line="259" w:lineRule="auto"/>
        <w:ind w:left="0" w:firstLine="568"/>
        <w:jc w:val="both"/>
        <w:rPr>
          <w:color w:val="000000"/>
        </w:rPr>
      </w:pPr>
      <w:r w:rsidRPr="00160418">
        <w:rPr>
          <w:color w:val="000000"/>
        </w:rPr>
        <w:t>Доступ до глобальної мережі Інтернет повинен здійснюватися через власний захищений вузол Інтернет-доступу (надалі – ЗВІД) Оператор із забезпеченням моніторингу та протидії інцидентам з інформаційної безпеки.</w:t>
      </w:r>
    </w:p>
    <w:p w:rsidR="00160418" w:rsidRPr="00160418" w:rsidRDefault="00160418" w:rsidP="00160418">
      <w:pPr>
        <w:pStyle w:val="a3"/>
        <w:numPr>
          <w:ilvl w:val="1"/>
          <w:numId w:val="27"/>
        </w:numPr>
        <w:tabs>
          <w:tab w:val="left" w:pos="709"/>
          <w:tab w:val="left" w:pos="993"/>
        </w:tabs>
        <w:spacing w:after="160" w:line="259" w:lineRule="auto"/>
        <w:ind w:left="0" w:firstLine="568"/>
        <w:jc w:val="both"/>
        <w:rPr>
          <w:color w:val="000000"/>
        </w:rPr>
      </w:pPr>
      <w:r w:rsidRPr="00160418">
        <w:rPr>
          <w:color w:val="000000"/>
        </w:rPr>
        <w:t>Захищений вузол Інтернет доступу –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Інтернет.</w:t>
      </w:r>
    </w:p>
    <w:p w:rsidR="00160418" w:rsidRPr="00160418" w:rsidRDefault="00160418" w:rsidP="00160418">
      <w:pPr>
        <w:pStyle w:val="a3"/>
        <w:numPr>
          <w:ilvl w:val="1"/>
          <w:numId w:val="27"/>
        </w:numPr>
        <w:tabs>
          <w:tab w:val="left" w:pos="709"/>
          <w:tab w:val="left" w:pos="993"/>
        </w:tabs>
        <w:spacing w:after="160" w:line="259" w:lineRule="auto"/>
        <w:ind w:left="0" w:firstLine="568"/>
        <w:jc w:val="both"/>
        <w:rPr>
          <w:color w:val="000000"/>
        </w:rPr>
      </w:pPr>
      <w:r w:rsidRPr="00160418">
        <w:rPr>
          <w:color w:val="000000"/>
        </w:rPr>
        <w:lastRenderedPageBreak/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(КСЗІ) з наступними функціями:</w:t>
      </w:r>
    </w:p>
    <w:p w:rsidR="00160418" w:rsidRPr="00160418" w:rsidRDefault="00160418" w:rsidP="00160418">
      <w:pPr>
        <w:numPr>
          <w:ilvl w:val="0"/>
          <w:numId w:val="25"/>
        </w:numPr>
        <w:tabs>
          <w:tab w:val="left" w:pos="709"/>
        </w:tabs>
        <w:spacing w:after="160" w:line="259" w:lineRule="auto"/>
        <w:ind w:left="0" w:firstLine="284"/>
        <w:contextualSpacing/>
        <w:jc w:val="both"/>
        <w:rPr>
          <w:color w:val="000000"/>
        </w:rPr>
      </w:pPr>
      <w:r w:rsidRPr="00160418">
        <w:rPr>
          <w:color w:val="000000"/>
        </w:rPr>
        <w:t>застосування політики безпеки на комплексі програмно-технічних засобів ЗВІД;</w:t>
      </w:r>
    </w:p>
    <w:p w:rsidR="00160418" w:rsidRPr="00160418" w:rsidRDefault="00160418" w:rsidP="00160418">
      <w:pPr>
        <w:numPr>
          <w:ilvl w:val="0"/>
          <w:numId w:val="25"/>
        </w:numPr>
        <w:tabs>
          <w:tab w:val="left" w:pos="709"/>
        </w:tabs>
        <w:spacing w:after="160" w:line="259" w:lineRule="auto"/>
        <w:ind w:left="0" w:firstLine="284"/>
        <w:contextualSpacing/>
        <w:jc w:val="both"/>
        <w:rPr>
          <w:color w:val="000000"/>
        </w:rPr>
      </w:pPr>
      <w:r w:rsidRPr="00160418">
        <w:rPr>
          <w:color w:val="000000"/>
        </w:rPr>
        <w:t>управління засобами захисту та функціями захисту активного мережевого обладнання що входить до складу ЗВІД;</w:t>
      </w:r>
    </w:p>
    <w:p w:rsidR="00160418" w:rsidRPr="00160418" w:rsidRDefault="00160418" w:rsidP="00160418">
      <w:pPr>
        <w:numPr>
          <w:ilvl w:val="0"/>
          <w:numId w:val="25"/>
        </w:numPr>
        <w:tabs>
          <w:tab w:val="left" w:pos="709"/>
        </w:tabs>
        <w:spacing w:after="160" w:line="259" w:lineRule="auto"/>
        <w:ind w:left="0" w:firstLine="284"/>
        <w:contextualSpacing/>
        <w:jc w:val="both"/>
        <w:rPr>
          <w:color w:val="000000"/>
        </w:rPr>
      </w:pPr>
      <w:r w:rsidRPr="00160418">
        <w:rPr>
          <w:color w:val="000000"/>
        </w:rPr>
        <w:t>безперервну експлуатацію та технічне обслуговування програмно-апаратних засобів захисту;</w:t>
      </w:r>
    </w:p>
    <w:p w:rsidR="00160418" w:rsidRPr="00160418" w:rsidRDefault="00160418" w:rsidP="00160418">
      <w:pPr>
        <w:numPr>
          <w:ilvl w:val="0"/>
          <w:numId w:val="25"/>
        </w:numPr>
        <w:tabs>
          <w:tab w:val="left" w:pos="709"/>
        </w:tabs>
        <w:spacing w:after="160" w:line="259" w:lineRule="auto"/>
        <w:ind w:left="0" w:firstLine="284"/>
        <w:contextualSpacing/>
        <w:jc w:val="both"/>
        <w:rPr>
          <w:color w:val="000000"/>
        </w:rPr>
      </w:pPr>
      <w:r w:rsidRPr="00160418">
        <w:rPr>
          <w:color w:val="000000"/>
        </w:rPr>
        <w:t>приймання повідомлень щодо інцидентів з порушенням безпеки від активного мережевих засобів захисту та обладнання;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визначення правил проходження інформаційних потоків між активним мережевим обладнанням;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захист програмно-апаратних засобів від несанкціонованого доступу;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 xml:space="preserve">моніторинг та аналіз поточного стану безпеки ЗВІД; 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аналіз прийнятих повідомлень та сортування згідно рангу загрози;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контроль за входом користувачів в систему та доступом до ресурсів;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реєстрація дій користувачів по відношенню до ресурсів системи;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цілісності інформаційних ресурсів центру;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перевірка цілісності та функціонування системи захисту;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 фізичний захист апаратно-програмних засобів ЗВІД від несанкціонованого доступу (НСД);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контроль за цілісністю функціонального програмного забезпечення та даних;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перевірки цілісності та коректності функціонування програмних та апаратних засобів захисту (самоконтроль);</w:t>
      </w:r>
    </w:p>
    <w:p w:rsidR="00160418" w:rsidRP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можливість повернення обчислювальної мережі ЗВІД у відомий захищений стан після відмов</w:t>
      </w:r>
      <w:r>
        <w:rPr>
          <w:color w:val="000000"/>
        </w:rPr>
        <w:t xml:space="preserve"> або переривання обслуговування</w:t>
      </w:r>
    </w:p>
    <w:p w:rsidR="00160418" w:rsidRDefault="00160418" w:rsidP="00160418">
      <w:pPr>
        <w:numPr>
          <w:ilvl w:val="0"/>
          <w:numId w:val="25"/>
        </w:numPr>
        <w:spacing w:after="160" w:line="259" w:lineRule="auto"/>
        <w:ind w:left="0" w:firstLine="360"/>
        <w:contextualSpacing/>
        <w:jc w:val="both"/>
        <w:rPr>
          <w:color w:val="000000"/>
        </w:rPr>
      </w:pPr>
      <w:r w:rsidRPr="00160418">
        <w:rPr>
          <w:color w:val="000000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 w:rsidR="00160418" w:rsidRPr="00160418" w:rsidRDefault="00160418" w:rsidP="00160418">
      <w:pPr>
        <w:spacing w:after="160" w:line="259" w:lineRule="auto"/>
        <w:ind w:left="360"/>
        <w:contextualSpacing/>
        <w:jc w:val="both"/>
        <w:rPr>
          <w:color w:val="000000"/>
        </w:rPr>
      </w:pPr>
    </w:p>
    <w:p w:rsidR="00160418" w:rsidRPr="00160418" w:rsidRDefault="00160418" w:rsidP="00160418">
      <w:pPr>
        <w:numPr>
          <w:ilvl w:val="0"/>
          <w:numId w:val="27"/>
        </w:numPr>
        <w:spacing w:after="160" w:line="360" w:lineRule="auto"/>
        <w:contextualSpacing/>
        <w:jc w:val="center"/>
        <w:rPr>
          <w:color w:val="000000"/>
        </w:rPr>
      </w:pPr>
      <w:r w:rsidRPr="00160418">
        <w:rPr>
          <w:color w:val="000000"/>
        </w:rPr>
        <w:t>Основні вимоги Інтернет</w:t>
      </w:r>
    </w:p>
    <w:p w:rsidR="00160418" w:rsidRPr="00160418" w:rsidRDefault="00160418" w:rsidP="00160418">
      <w:pPr>
        <w:pStyle w:val="a3"/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jc w:val="both"/>
        <w:rPr>
          <w:color w:val="000000"/>
        </w:rPr>
      </w:pPr>
      <w:r w:rsidRPr="00160418">
        <w:rPr>
          <w:color w:val="000000"/>
        </w:rPr>
        <w:t>Забезпечення послуг доступу до мереж та ресурсів поза точкою обміну українським трафіком UA-IX без обмеження трафіку із швидкістю не менше ніж 100 Мбіт/с (симетричний канал).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послуг доступу до мережі та ресурсів підключених до не менше як двох точок обміну українським трафіком UA-IX без обмеження трафіку із швидкістю не менше ніж 100 Мбіт/с (симетричний канал)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Наявність власного оптоволоконного каналу зв’язку між магістральним мережним комутаційним обладнанням Абонента і Оператора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Час роботи в Інтернет та обсяг передачі інформації не обмежується, доступ до Інтернет 24 години на добу, транзит трафіку Абонента до Міжнародних з’єднань Оператора - не лімітований. Затримка передачі даних з серверів Інтернет, розташованих в Європі та США, виміряна за допомогою утиліт traceroute або ping, не більш ніж 250 мілісекунд для не менш ніж 95% тестових пакетів.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Окрема маршрутизація (розподіл) пропускної спроможності каналу для українського та зарубіжного трафіку.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lastRenderedPageBreak/>
        <w:t>Можливість надання послуги QoS (забезпечення гарантованої пропускної здатності в межах наданого каналу для будь яких окремих ресурсів).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доступу до статистики використання та навантаження каналу зв’язку та доступу до Інтернет.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адаптованого захисту на стороні Оператора каналів зв’язку між магістральним мережним комутаційним обладнанням ЗОператора і Абонента від паразитного мережевого трафіку, який може призвести до переповнення каналу.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за умови різкого збільшення трафіку тимчасового підвищення  пропускної здатності каналу доступу до мереж та ресурсів поза точкою обміну трафіком до 1 Гбіт/с (симетричний канал).</w:t>
      </w:r>
    </w:p>
    <w:p w:rsidR="00160418" w:rsidRPr="00160418" w:rsidRDefault="00160418" w:rsidP="00160418">
      <w:pPr>
        <w:numPr>
          <w:ilvl w:val="1"/>
          <w:numId w:val="27"/>
        </w:numPr>
        <w:tabs>
          <w:tab w:val="left" w:pos="1134"/>
        </w:tabs>
        <w:spacing w:after="160"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Забезпечення налагодження мережевої фільтрації та зовнішньої маршрутизації каналів зв’язку на стороні Оператора  з метою зменшення впливу мережевих атак на функціонування інформаційних ресурсів Абонента.</w:t>
      </w:r>
    </w:p>
    <w:p w:rsidR="00160418" w:rsidRPr="00160418" w:rsidRDefault="00160418" w:rsidP="001520FF">
      <w:pPr>
        <w:numPr>
          <w:ilvl w:val="1"/>
          <w:numId w:val="27"/>
        </w:numPr>
        <w:tabs>
          <w:tab w:val="left" w:pos="1134"/>
        </w:tabs>
        <w:spacing w:line="259" w:lineRule="auto"/>
        <w:ind w:left="0" w:firstLine="568"/>
        <w:contextualSpacing/>
        <w:jc w:val="both"/>
        <w:rPr>
          <w:color w:val="000000"/>
        </w:rPr>
      </w:pPr>
      <w:r w:rsidRPr="00160418">
        <w:rPr>
          <w:color w:val="000000"/>
        </w:rPr>
        <w:t>Надання за зверненням Абонента кваліфікованої консультативної та технічної допомоги по налагодженню обладнання та сервісів Абонента, що забезпечують доступ до зовнішніх мережевих ресурсів.</w:t>
      </w:r>
    </w:p>
    <w:p w:rsidR="001520FF" w:rsidRPr="001520FF" w:rsidRDefault="001520FF" w:rsidP="001520FF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napToGrid w:val="0"/>
        <w:spacing w:line="259" w:lineRule="auto"/>
        <w:ind w:left="0" w:firstLine="568"/>
        <w:jc w:val="both"/>
        <w:rPr>
          <w:color w:val="000000"/>
        </w:rPr>
      </w:pPr>
      <w:r w:rsidRPr="001520FF">
        <w:rPr>
          <w:color w:val="000000"/>
        </w:rPr>
        <w:t>Оператор має бути включений до Реєстру постачальників електронних комунікаційних мереж та послуг.</w:t>
      </w:r>
    </w:p>
    <w:p w:rsidR="001520FF" w:rsidRPr="001520FF" w:rsidRDefault="001520FF" w:rsidP="001520FF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napToGrid w:val="0"/>
        <w:spacing w:line="259" w:lineRule="auto"/>
        <w:ind w:left="0" w:firstLine="568"/>
        <w:jc w:val="both"/>
        <w:rPr>
          <w:color w:val="000000"/>
        </w:rPr>
      </w:pPr>
      <w:r w:rsidRPr="001520FF">
        <w:rPr>
          <w:color w:val="000000"/>
        </w:rPr>
        <w:t>Оператор має входити до Переліку операторів телекомунікацій, які мають право надавати послуги конфіденційного зв'язку та/або захищеного доступу до мережі Інтернет (далі - Перелік), що підтверджується повідомленням про включення до Переліку операторів НСКЗ наданим Адміністрацією Держспецзв’язку які мають право надавати наступні види діяльності надання в користування послуг захищеного доступу до мережі Інтернет.</w:t>
      </w:r>
    </w:p>
    <w:p w:rsidR="00160418" w:rsidRPr="00160418" w:rsidRDefault="00160418" w:rsidP="00160418">
      <w:pPr>
        <w:tabs>
          <w:tab w:val="left" w:pos="851"/>
          <w:tab w:val="left" w:pos="993"/>
        </w:tabs>
        <w:snapToGrid w:val="0"/>
        <w:spacing w:after="160" w:line="259" w:lineRule="auto"/>
        <w:ind w:left="644" w:hanging="77"/>
        <w:contextualSpacing/>
        <w:jc w:val="both"/>
        <w:rPr>
          <w:color w:val="000000"/>
        </w:rPr>
      </w:pPr>
      <w:r w:rsidRPr="00160418">
        <w:rPr>
          <w:color w:val="000000"/>
        </w:rPr>
        <w:t> Обсяг надання послуг - 1 послуга.</w:t>
      </w:r>
    </w:p>
    <w:p w:rsidR="00765E7D" w:rsidRPr="00765E7D" w:rsidRDefault="00765E7D" w:rsidP="00765E7D">
      <w:pPr>
        <w:pStyle w:val="a3"/>
        <w:tabs>
          <w:tab w:val="left" w:pos="142"/>
        </w:tabs>
        <w:ind w:left="0" w:firstLine="567"/>
        <w:jc w:val="both"/>
      </w:pPr>
    </w:p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sectPr w:rsidR="00701D6A" w:rsidRPr="00701D6A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34" w:rsidRDefault="006E1834" w:rsidP="00151E06">
      <w:r>
        <w:separator/>
      </w:r>
    </w:p>
  </w:endnote>
  <w:endnote w:type="continuationSeparator" w:id="0">
    <w:p w:rsidR="006E1834" w:rsidRDefault="006E1834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34" w:rsidRDefault="006E1834" w:rsidP="00151E06">
      <w:r>
        <w:separator/>
      </w:r>
    </w:p>
  </w:footnote>
  <w:footnote w:type="continuationSeparator" w:id="0">
    <w:p w:rsidR="006E1834" w:rsidRDefault="006E1834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6E6E5B"/>
    <w:multiLevelType w:val="multilevel"/>
    <w:tmpl w:val="A6381CA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1A7B84"/>
    <w:multiLevelType w:val="hybridMultilevel"/>
    <w:tmpl w:val="8D78BC3C"/>
    <w:lvl w:ilvl="0" w:tplc="F40A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0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C57BC"/>
    <w:multiLevelType w:val="hybridMultilevel"/>
    <w:tmpl w:val="06E04104"/>
    <w:lvl w:ilvl="0" w:tplc="C2C8E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505B1C"/>
    <w:multiLevelType w:val="hybridMultilevel"/>
    <w:tmpl w:val="12EA04FA"/>
    <w:lvl w:ilvl="0" w:tplc="F40AD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488445C0"/>
    <w:multiLevelType w:val="multilevel"/>
    <w:tmpl w:val="0E926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0"/>
  </w:num>
  <w:num w:numId="9">
    <w:abstractNumId w:val="26"/>
  </w:num>
  <w:num w:numId="10">
    <w:abstractNumId w:val="13"/>
  </w:num>
  <w:num w:numId="11">
    <w:abstractNumId w:val="18"/>
  </w:num>
  <w:num w:numId="12">
    <w:abstractNumId w:val="3"/>
  </w:num>
  <w:num w:numId="13">
    <w:abstractNumId w:val="4"/>
  </w:num>
  <w:num w:numId="14">
    <w:abstractNumId w:val="23"/>
  </w:num>
  <w:num w:numId="15">
    <w:abstractNumId w:val="9"/>
  </w:num>
  <w:num w:numId="16">
    <w:abstractNumId w:val="6"/>
  </w:num>
  <w:num w:numId="17">
    <w:abstractNumId w:val="19"/>
  </w:num>
  <w:num w:numId="18">
    <w:abstractNumId w:val="24"/>
  </w:num>
  <w:num w:numId="19">
    <w:abstractNumId w:val="14"/>
  </w:num>
  <w:num w:numId="20">
    <w:abstractNumId w:val="22"/>
  </w:num>
  <w:num w:numId="21">
    <w:abstractNumId w:val="10"/>
  </w:num>
  <w:num w:numId="22">
    <w:abstractNumId w:val="21"/>
  </w:num>
  <w:num w:numId="23">
    <w:abstractNumId w:val="15"/>
  </w:num>
  <w:num w:numId="24">
    <w:abstractNumId w:val="11"/>
  </w:num>
  <w:num w:numId="25">
    <w:abstractNumId w:val="8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6559"/>
    <w:rsid w:val="000B78DC"/>
    <w:rsid w:val="000C0581"/>
    <w:rsid w:val="000C1A77"/>
    <w:rsid w:val="000C66E2"/>
    <w:rsid w:val="000C7836"/>
    <w:rsid w:val="000C7927"/>
    <w:rsid w:val="000D0A0D"/>
    <w:rsid w:val="000E0008"/>
    <w:rsid w:val="000E6DFF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0FF"/>
    <w:rsid w:val="00152331"/>
    <w:rsid w:val="00160418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33C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43B8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C2580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15E2B"/>
    <w:rsid w:val="00533385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6669D"/>
    <w:rsid w:val="00570B64"/>
    <w:rsid w:val="005717E0"/>
    <w:rsid w:val="0058098C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1834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5EB0"/>
    <w:rsid w:val="00855566"/>
    <w:rsid w:val="00862A90"/>
    <w:rsid w:val="00873ACE"/>
    <w:rsid w:val="008A4B9B"/>
    <w:rsid w:val="008A583B"/>
    <w:rsid w:val="008A770D"/>
    <w:rsid w:val="008B08B9"/>
    <w:rsid w:val="008B2D55"/>
    <w:rsid w:val="008D0C34"/>
    <w:rsid w:val="008D26F9"/>
    <w:rsid w:val="008D284D"/>
    <w:rsid w:val="008E295D"/>
    <w:rsid w:val="008E5F4B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420"/>
    <w:rsid w:val="00B32AE0"/>
    <w:rsid w:val="00B32B13"/>
    <w:rsid w:val="00B346D6"/>
    <w:rsid w:val="00B41037"/>
    <w:rsid w:val="00B475EB"/>
    <w:rsid w:val="00B51C32"/>
    <w:rsid w:val="00B52EAF"/>
    <w:rsid w:val="00B56BC2"/>
    <w:rsid w:val="00B61FA6"/>
    <w:rsid w:val="00B6208E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3FCF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E66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761F9"/>
    <w:rsid w:val="00D967F7"/>
    <w:rsid w:val="00DA3BEB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4F1C"/>
    <w:rsid w:val="00F832D5"/>
    <w:rsid w:val="00F925A5"/>
    <w:rsid w:val="00F951BF"/>
    <w:rsid w:val="00FA4535"/>
    <w:rsid w:val="00FA46F8"/>
    <w:rsid w:val="00FB5636"/>
    <w:rsid w:val="00FC72D6"/>
    <w:rsid w:val="00FD0C24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019B-010B-4744-A142-72CC5B8D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6477</Words>
  <Characters>3693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2025-02-11T13:49:00Z</cp:lastPrinted>
  <dcterms:created xsi:type="dcterms:W3CDTF">2025-02-11T14:12:00Z</dcterms:created>
  <dcterms:modified xsi:type="dcterms:W3CDTF">2025-02-11T14:12:00Z</dcterms:modified>
</cp:coreProperties>
</file>