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E" w:rsidRPr="00B115B5" w:rsidRDefault="009551FE" w:rsidP="00032FEC">
      <w:pPr>
        <w:shd w:val="clear" w:color="auto" w:fill="FFFFFF" w:themeFill="background1"/>
        <w:spacing w:line="276" w:lineRule="auto"/>
        <w:ind w:left="5387"/>
        <w:jc w:val="both"/>
        <w:rPr>
          <w:sz w:val="28"/>
          <w:szCs w:val="28"/>
          <w:lang w:val="uk-UA"/>
        </w:rPr>
      </w:pPr>
      <w:r w:rsidRPr="00B115B5">
        <w:rPr>
          <w:sz w:val="28"/>
          <w:szCs w:val="28"/>
          <w:lang w:val="uk-UA"/>
        </w:rPr>
        <w:t>ЗАТВЕРДЖЕНО</w:t>
      </w:r>
    </w:p>
    <w:p w:rsidR="009551FE" w:rsidRPr="00B115B5" w:rsidRDefault="00831329" w:rsidP="00032FEC">
      <w:pPr>
        <w:shd w:val="clear" w:color="auto" w:fill="FFFFFF" w:themeFill="background1"/>
        <w:spacing w:line="276" w:lineRule="auto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551FE" w:rsidRPr="00B115B5">
        <w:rPr>
          <w:sz w:val="28"/>
          <w:szCs w:val="28"/>
          <w:lang w:val="uk-UA"/>
        </w:rPr>
        <w:t>аказ Координаційного центру з надання правничої допомоги</w:t>
      </w:r>
    </w:p>
    <w:p w:rsidR="009551FE" w:rsidRPr="00B115B5" w:rsidRDefault="009551FE" w:rsidP="00032FEC">
      <w:pPr>
        <w:pStyle w:val="a3"/>
        <w:shd w:val="clear" w:color="auto" w:fill="FFFFFF" w:themeFill="background1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15B5">
        <w:rPr>
          <w:rFonts w:ascii="Times New Roman" w:eastAsia="Times New Roman" w:hAnsi="Times New Roman" w:cs="Times New Roman"/>
          <w:sz w:val="28"/>
          <w:szCs w:val="28"/>
          <w:lang w:val="uk-UA"/>
        </w:rPr>
        <w:t>«__» _______ 202</w:t>
      </w:r>
      <w:r w:rsidR="007579D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115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____</w:t>
      </w:r>
    </w:p>
    <w:p w:rsidR="009551FE" w:rsidRPr="005A245F" w:rsidRDefault="009551FE" w:rsidP="00032FE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0C54" w:rsidRPr="00B115B5" w:rsidRDefault="00ED3DBA" w:rsidP="00032FE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Інструкція </w:t>
      </w:r>
    </w:p>
    <w:p w:rsidR="00361E4A" w:rsidRPr="00B115B5" w:rsidRDefault="00ED3DBA" w:rsidP="00ED3DBA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B5579B" w:rsidRPr="00B11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процедури </w:t>
      </w:r>
      <w:r w:rsidR="00C32276" w:rsidRPr="00B115B5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(ідентифікації) ос</w:t>
      </w:r>
      <w:r w:rsidR="0096189D" w:rsidRPr="00B115B5">
        <w:rPr>
          <w:rFonts w:ascii="Times New Roman" w:hAnsi="Times New Roman" w:cs="Times New Roman"/>
          <w:b/>
          <w:sz w:val="28"/>
          <w:szCs w:val="28"/>
          <w:lang w:val="uk-UA"/>
        </w:rPr>
        <w:t>оби</w:t>
      </w:r>
      <w:r w:rsidR="00C32276" w:rsidRPr="00B11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яка подала електронне звернення </w:t>
      </w:r>
      <w:r w:rsidR="00FE7858" w:rsidRPr="00B115B5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безоплатної вторинної правничої допомоги</w:t>
      </w:r>
    </w:p>
    <w:p w:rsidR="00C32276" w:rsidRPr="00B115B5" w:rsidRDefault="00C32276" w:rsidP="00032FE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B02" w:rsidRPr="00B115B5" w:rsidRDefault="00670A4F" w:rsidP="00032FE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</w:t>
      </w:r>
      <w:r w:rsidR="00ED3D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Інструкція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визначає </w:t>
      </w:r>
      <w:r w:rsid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механізм</w:t>
      </w:r>
      <w:r w:rsidR="007579D6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C42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проведення процедури 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встановлення (ідентифікації) </w:t>
      </w:r>
      <w:r w:rsid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(далі – процедура ідентифікації) </w:t>
      </w:r>
      <w:r w:rsidR="00FE7858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працівниками 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</w:t>
      </w:r>
      <w:r w:rsidR="00753B0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надання безоплатної правничої допомоги</w:t>
      </w:r>
      <w:r w:rsidR="00B5261B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1B61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(далі – центр) 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</w:t>
      </w:r>
      <w:r w:rsidR="00305BC1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оби, </w:t>
      </w:r>
      <w:r w:rsidR="002333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належи</w:t>
      </w:r>
      <w:r w:rsidR="007579D6" w:rsidRP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ть до суб’єктів права на безоплатну</w:t>
      </w:r>
      <w:r w:rsidR="005A24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вторинну</w:t>
      </w:r>
      <w:r w:rsidR="007579D6" w:rsidRP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правничу допомогу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БВПД)</w:t>
      </w:r>
      <w:r w:rsidR="007579D6" w:rsidRP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визначених пунктом 16 частини першої статті 14 Закону України «Про безоплатну правничу допомогу»</w:t>
      </w:r>
      <w:r w:rsid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2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(далі – Закон) </w:t>
      </w:r>
      <w:r w:rsid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7579D6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подал</w:t>
      </w:r>
      <w:r w:rsidR="007579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7579D6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електронне звернення</w:t>
      </w:r>
      <w:r w:rsidR="0096189D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надання </w:t>
      </w:r>
      <w:r w:rsidR="003F65F5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="00753B0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51805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без застосування електронного підпису, що базується на кваліфікованому сертифікаті (далі – </w:t>
      </w:r>
      <w:r w:rsidR="004C42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</w:t>
      </w:r>
      <w:r w:rsidR="00251805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відповідно до наказу</w:t>
      </w:r>
      <w:r w:rsidR="00753B0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Міністерства юстиції України </w:t>
      </w:r>
      <w:r w:rsidR="005140F0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18 серпня 2023 року </w:t>
      </w:r>
      <w:r w:rsidR="00BB21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2994/</w:t>
      </w:r>
      <w:r w:rsidR="00753B0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4C42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процедура ідентифікації)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97BF7" w:rsidRDefault="003F65F5" w:rsidP="00997BF7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Після отримання на офіційну електронну адресу центру електронного звернення </w:t>
      </w:r>
      <w:r w:rsidR="001661F8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</w:t>
      </w:r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встановлення належності особи до категорії осіб, визначеної пунктом 16 частини першої статті 14 Закону, </w:t>
      </w:r>
      <w:r w:rsidR="001661F8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 центру</w:t>
      </w:r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урахуванням визначеного Законом строку для прийняття </w:t>
      </w:r>
      <w:r w:rsid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центром </w:t>
      </w:r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про надання 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узгоджує з такою особою </w:t>
      </w:r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дату та час </w:t>
      </w:r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проведення</w:t>
      </w:r>
      <w:r w:rsid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процедури ідентифікації</w:t>
      </w:r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також </w:t>
      </w:r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зручний і доступний для неї сервіс (</w:t>
      </w:r>
      <w:proofErr w:type="spellStart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месенджер</w:t>
      </w:r>
      <w:proofErr w:type="spellEnd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проведення </w:t>
      </w:r>
      <w:proofErr w:type="spellStart"/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 w:rsidR="00997BF7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Zoom</w:t>
      </w:r>
      <w:proofErr w:type="spellEnd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Vіber</w:t>
      </w:r>
      <w:proofErr w:type="spellEnd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Telegram</w:t>
      </w:r>
      <w:proofErr w:type="spellEnd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Skype</w:t>
      </w:r>
      <w:proofErr w:type="spellEnd"/>
      <w:r w:rsidR="00616DEA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тощо</w:t>
      </w:r>
      <w:r w:rsid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997BF7" w:rsidRDefault="00997BF7" w:rsidP="00997BF7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випадку, якщо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особа відмовилася проходити процедуру ідентифікації або з особою відсутній зв’язок (впродовж </w:t>
      </w:r>
      <w:r w:rsidR="00383876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визначеного Законом строку для прийняття </w:t>
      </w:r>
      <w:r w:rsidR="00383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центром </w:t>
      </w:r>
      <w:r w:rsidR="00383876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про надання 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особа не вийшла на зв’язок та не підтвердила готовність пройти процедуру ідентифікації)</w:t>
      </w:r>
      <w:r w:rsid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 приймає рішення про відмову у наданні </w:t>
      </w:r>
      <w:r w:rsid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такій особі 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надсилає їй копію такого рішення з одночасним роз’ясненням порядку повторного подання звернення про надання 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E57A2" w:rsidRDefault="004E57A2" w:rsidP="004E57A2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96C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разі неможливості встановити </w:t>
      </w:r>
      <w:proofErr w:type="spellStart"/>
      <w:r w:rsid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</w:t>
      </w:r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</w:t>
      </w:r>
      <w:r w:rsidR="00C87414" w:rsidRPr="009B24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язок</w:t>
      </w:r>
      <w:proofErr w:type="spellEnd"/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особою у визначені дату і час 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або неможливості проведення процедури ідентифікації з причини поганої якості </w:t>
      </w:r>
      <w:proofErr w:type="spellStart"/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F5662D" w:rsidRPr="00221C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ідео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конференц</w:t>
      </w:r>
      <w:r w:rsidR="00F5662D" w:rsidRPr="00221C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зв’язку</w:t>
      </w:r>
      <w:proofErr w:type="spellEnd"/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працівник центру </w:t>
      </w:r>
      <w:r w:rsidR="00BD312C" w:rsidRP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узгоджує з особою інший час для проведення процедури ідентифікації</w:t>
      </w:r>
      <w:r w:rsidR="00BD31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E57A2" w:rsidRDefault="004E57A2" w:rsidP="004E57A2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Кількість спроб проведення із особою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</w:t>
      </w:r>
      <w:proofErr w:type="spellEnd"/>
      <w:r w:rsidRPr="009B2422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протягом</w:t>
      </w:r>
      <w:r w:rsidRPr="004E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визначеного Законом строку для прийняття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центром 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про надання </w:t>
      </w:r>
      <w:r w:rsidR="000B5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 обмежена.</w:t>
      </w:r>
    </w:p>
    <w:p w:rsidR="00080181" w:rsidRDefault="004E57A2" w:rsidP="00080181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Зустріч </w:t>
      </w:r>
      <w:r w:rsidR="00F80ACC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особою 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режимі </w:t>
      </w:r>
      <w:proofErr w:type="spellStart"/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</w:t>
      </w:r>
      <w:r w:rsidR="00F80ACC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proofErr w:type="spellEnd"/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відбувається за участі не менше 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-х працівників центру.</w:t>
      </w:r>
    </w:p>
    <w:p w:rsidR="00080181" w:rsidRDefault="0000548D" w:rsidP="00080181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6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47901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Працівники центру під час здійснен</w:t>
      </w:r>
      <w:r w:rsid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 процедури ідентифікації повинні</w:t>
      </w:r>
      <w:r w:rsidR="00747901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перебувати у приміщенні, в якому забезпечені умови для отримання якісної аудіовізуальної інформації (зокрема обмежено рух інших осіб у зоні видимості камери та сторонній шум),</w:t>
      </w:r>
      <w:r w:rsid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які унеможливлюють розголошення</w:t>
      </w:r>
      <w:r w:rsidR="00747901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персональних даних та особистої інформації.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745AC5" w:rsidRDefault="0000548D" w:rsidP="00080181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83423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початку проведення процедури ідентифікації п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рацівники центру</w:t>
      </w:r>
      <w:r w:rsidR="00745A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45AC5" w:rsidRDefault="00745AC5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представляються, називаючи свої імена</w:t>
      </w:r>
      <w:r w:rsidR="00CD12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прізвища </w:t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745AC5" w:rsidRDefault="00745AC5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роз’яснюють особі, яким чином проходитиме процедура ідентифікації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526BBF" w:rsidRDefault="00526BBF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отримують від особи згоду на проведення процедури ідентифікації;</w:t>
      </w:r>
    </w:p>
    <w:p w:rsidR="00745AC5" w:rsidRDefault="00745AC5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5C5F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ставлять</w:t>
      </w:r>
      <w:r w:rsidR="005C5FCF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83423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особі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запитан</w:t>
      </w:r>
      <w:r w:rsidR="005C5F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</w:t>
      </w:r>
      <w:r w:rsidR="00526B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визначені</w:t>
      </w:r>
      <w:r w:rsidR="00EF3D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32A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Протоколі, </w:t>
      </w:r>
      <w:r w:rsidR="00BE4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формою згідно з додатком</w:t>
      </w:r>
      <w:r w:rsidR="00BE4C7B"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цієї Інструкції</w:t>
      </w:r>
      <w:r w:rsidR="00526B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та фіксують </w:t>
      </w:r>
      <w:r w:rsidR="00BE4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ньому </w:t>
      </w:r>
      <w:r w:rsidR="00526B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надані особою відповіді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526BBF" w:rsidRDefault="00526BBF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просять особу </w:t>
      </w:r>
      <w:r w:rsidR="0000548D" w:rsidRPr="00745A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пред’яв</w:t>
      </w:r>
      <w:r w:rsidR="000054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r w:rsidR="0000548D" w:rsidRPr="00745A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документи, які посвідчують особу та підтверджують громадянство України, а також документи, які підтверджують її належність до суб’єктів права на БВПД.</w:t>
      </w:r>
    </w:p>
    <w:p w:rsidR="0000548D" w:rsidRDefault="0000548D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</w:t>
      </w:r>
      <w:proofErr w:type="spellEnd"/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явлення особою документів здійснюється таким чином, щоб на відеозаписі та зробленому фотозображенні можна було чітко розпізнати особу та деталі документів (тобто, особі необхідно тримати документ біля свого обличчя та одноча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сно демонструвати це на камеру);</w:t>
      </w:r>
    </w:p>
    <w:p w:rsidR="00745AC5" w:rsidRDefault="00745AC5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здійснюють </w:t>
      </w:r>
      <w:r w:rsidR="00475C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фотофіксацію/скріншот екрану</w:t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пред’явлених особою документів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80181" w:rsidRDefault="00745AC5" w:rsidP="00634429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роз’яснюють особі подальший порядок дій центру щодо прийняття рішення про надання БВПД</w:t>
      </w:r>
      <w:r w:rsidR="00182938" w:rsidRPr="000834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5662D" w:rsidRDefault="0000548D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8</w:t>
      </w:r>
      <w:r w:rsidR="000801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Працівники центру під час </w:t>
      </w:r>
      <w:proofErr w:type="spellStart"/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здійснюють відеозапис або фотофіксацію </w:t>
      </w:r>
      <w:r w:rsidR="00F80ACC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процедури ідентифікації особи</w:t>
      </w:r>
      <w:r w:rsidR="00404032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таким чином, щоб на зробленому відеозаписі або фотозображенні можна було чітко розпізнати особу та деталі ідентифікаційного документа.</w:t>
      </w:r>
    </w:p>
    <w:p w:rsidR="00F5662D" w:rsidRDefault="0000548D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9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Відеоз</w:t>
      </w:r>
      <w:r w:rsidR="001639D4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апис процедури ідентифікації має містити частину, де особа,</w:t>
      </w:r>
      <w:r w:rsidR="00C93E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71F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проходить процедуру ідентифікації, </w:t>
      </w:r>
      <w:r w:rsidR="001639D4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озвучує інформацію про</w:t>
      </w:r>
      <w:r w:rsidR="000F0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надання згоди на проведення процедури ідентифікації,</w:t>
      </w:r>
      <w:r w:rsidR="001639D4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номер та серію (за наявності) документа, що посвідчує особу.</w:t>
      </w:r>
    </w:p>
    <w:p w:rsidR="00C534AF" w:rsidRDefault="0000548D" w:rsidP="00C534AF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C53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У разі переривання з будь-яких причин </w:t>
      </w:r>
      <w:proofErr w:type="spellStart"/>
      <w:r w:rsidR="00C534AF"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 w:rsidR="00C53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процедура ідентифікації повинна бути здійснена повторно в повному обсязі.</w:t>
      </w:r>
    </w:p>
    <w:p w:rsidR="00C534AF" w:rsidRDefault="00C534AF" w:rsidP="00EF3D22">
      <w:pPr>
        <w:pStyle w:val="a3"/>
        <w:shd w:val="clear" w:color="auto" w:fill="FFFFFF" w:themeFill="background1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Тривалість </w:t>
      </w:r>
      <w:proofErr w:type="spellStart"/>
      <w:r w:rsidRPr="00B115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повинна бути достатньою для встановлення особи, яка подала звернення про надання БВПД.</w:t>
      </w:r>
    </w:p>
    <w:p w:rsidR="00D34D30" w:rsidRDefault="00F5662D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B32A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84F8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2F4F0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нформація щодо </w:t>
      </w:r>
      <w:r w:rsidR="00FC4EF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проведення процедури ідентифікації</w:t>
      </w:r>
      <w:r w:rsidR="00475C7D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дані, отримані від особи під час такої процедури</w:t>
      </w:r>
      <w:r w:rsidR="00FC4EF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180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фіксу</w:t>
      </w:r>
      <w:r w:rsidR="00475C7D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A7180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ться в П</w:t>
      </w:r>
      <w:r w:rsidR="00584F8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ротоколі</w:t>
      </w:r>
      <w:r w:rsidR="00FC4EF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D34D30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F5662D" w:rsidRDefault="00D34D30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Якщо</w:t>
      </w:r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процедуру ідентифікації не вдалось провести з причини поганої якості </w:t>
      </w:r>
      <w:proofErr w:type="spellStart"/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 w:rsidRPr="00997B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працівники центру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інформацію про це фіксують у Протоколі.</w:t>
      </w:r>
    </w:p>
    <w:p w:rsidR="00F5662D" w:rsidRDefault="00F5662D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1</w:t>
      </w:r>
      <w:r w:rsidR="00B32A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C65C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Протокол підписується 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кожним </w:t>
      </w:r>
      <w:r w:rsidR="005C65C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 центру, який</w:t>
      </w:r>
      <w:r w:rsidR="005C65C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бра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5C65C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участь</w:t>
      </w:r>
      <w:r w:rsidR="00747DDA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процедурі ідентифікації</w:t>
      </w:r>
      <w:r w:rsidR="00071F7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особисто або із застосування</w:t>
      </w:r>
      <w:r w:rsidR="00505A31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071F7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електронного підпису, що базується на кваліфікованому сертифікаті</w:t>
      </w:r>
      <w:r w:rsidR="00747DDA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5662D" w:rsidRDefault="00D34D30" w:rsidP="00F5662D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ab/>
        <w:t>13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3464A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Сканована версія </w:t>
      </w:r>
      <w:r w:rsidR="005C65CE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підписаного </w:t>
      </w:r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2F4F0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ротокол</w:t>
      </w:r>
      <w:r w:rsidR="0003464A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файл формату </w:t>
      </w:r>
      <w:proofErr w:type="spellStart"/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.zip</w:t>
      </w:r>
      <w:proofErr w:type="spellEnd"/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</w:t>
      </w:r>
      <w:r w:rsidR="00FB1955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E539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місти</w:t>
      </w:r>
      <w:r w:rsidR="003C121F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ть підписаний</w:t>
      </w:r>
      <w:r w:rsidR="00C0569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E539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електронним підписом </w:t>
      </w:r>
      <w:r w:rsidR="003C121F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Протокол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C121F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4F03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584F8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відеозапис/фотозображення особи, яка подала</w:t>
      </w:r>
      <w:r w:rsidR="002739F5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електронне звернення</w:t>
      </w:r>
      <w:r w:rsidR="0028017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пройшла процедуру ідентифікації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739F5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вносяться </w:t>
      </w:r>
      <w:r w:rsidR="008042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</w:t>
      </w:r>
      <w:r w:rsidR="00B32A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комплексної інформаційно-аналітичної системи забезпечення надання без</w:t>
      </w:r>
      <w:bookmarkStart w:id="0" w:name="_GoBack"/>
      <w:bookmarkEnd w:id="0"/>
      <w:r w:rsidR="00B32A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оплатної правничої допомоги </w:t>
      </w:r>
      <w:r w:rsidR="008B7FEA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739F5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пізніше </w:t>
      </w:r>
      <w:r w:rsidR="0028186C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наступного</w:t>
      </w:r>
      <w:r w:rsidR="002739F5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робочог</w:t>
      </w:r>
      <w:r w:rsidR="009D0F1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 дня після проведення </w:t>
      </w:r>
      <w:r w:rsidR="00280176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процедури ідентифікації</w:t>
      </w:r>
      <w:r w:rsidR="001A3A08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D34D30" w:rsidRDefault="00D34D30" w:rsidP="00D34D30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14</w:t>
      </w:r>
      <w:r w:rsidR="00F566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42530" w:rsidRPr="00FF5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Інформація, отримана під час процедури ідентифікації особи використовується, зберігається та обробляється відповідно до Закону України «Про захист персональних даних».</w:t>
      </w:r>
    </w:p>
    <w:p w:rsidR="00FF5F2E" w:rsidRPr="00D34D30" w:rsidRDefault="00D34D30" w:rsidP="00D34D30">
      <w:pPr>
        <w:pStyle w:val="a3"/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15. </w:t>
      </w:r>
      <w:r w:rsidR="001D6B8B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Після проведення процедури ідентифікації центр у визначений</w:t>
      </w:r>
      <w:r w:rsidR="006E2D69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1D6B8B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аконом строк приймає</w:t>
      </w:r>
      <w:r w:rsidR="00B47FAA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37B55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</w:t>
      </w:r>
      <w:r w:rsidR="003F65F5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особі </w:t>
      </w:r>
      <w:r w:rsidR="005D566A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або відмову у наданні </w:t>
      </w:r>
      <w:r w:rsidR="00A71803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БВПД</w:t>
      </w:r>
      <w:r w:rsidR="00FF5F2E" w:rsidRPr="00D34D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F3D22" w:rsidRDefault="00EF3D22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EF3D22" w:rsidRDefault="00EF3D22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FF5F2E" w:rsidRDefault="00FF5F2E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CE5393" w:rsidRPr="00B115B5" w:rsidRDefault="003F65F5" w:rsidP="00FF5F2E">
      <w:pPr>
        <w:shd w:val="clear" w:color="auto" w:fill="FFFFFF" w:themeFill="background1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FF5F2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D96B56" w:rsidRDefault="000968B8">
      <w:pPr>
        <w:pStyle w:val="a3"/>
        <w:shd w:val="clear" w:color="auto" w:fill="FFFFFF" w:themeFill="background1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_________________</w:t>
      </w:r>
    </w:p>
    <w:p w:rsidR="00986216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86216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86216" w:rsidRDefault="00986216" w:rsidP="00032FEC">
      <w:pPr>
        <w:pStyle w:val="a3"/>
        <w:shd w:val="clear" w:color="auto" w:fill="FFFFFF" w:themeFill="background1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986216" w:rsidSect="00F02728">
      <w:headerReference w:type="default" r:id="rId8"/>
      <w:pgSz w:w="11906" w:h="16838"/>
      <w:pgMar w:top="709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51" w:rsidRDefault="00C64151" w:rsidP="00F02728">
      <w:r>
        <w:separator/>
      </w:r>
    </w:p>
  </w:endnote>
  <w:endnote w:type="continuationSeparator" w:id="0">
    <w:p w:rsidR="00C64151" w:rsidRDefault="00C64151" w:rsidP="00F0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51" w:rsidRDefault="00C64151" w:rsidP="00F02728">
      <w:r>
        <w:separator/>
      </w:r>
    </w:p>
  </w:footnote>
  <w:footnote w:type="continuationSeparator" w:id="0">
    <w:p w:rsidR="00C64151" w:rsidRDefault="00C64151" w:rsidP="00F0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68327"/>
      <w:docPartObj>
        <w:docPartGallery w:val="Page Numbers (Top of Page)"/>
        <w:docPartUnique/>
      </w:docPartObj>
    </w:sdtPr>
    <w:sdtContent>
      <w:p w:rsidR="00F02728" w:rsidRDefault="00DF7C2D">
        <w:pPr>
          <w:pStyle w:val="af0"/>
          <w:jc w:val="center"/>
        </w:pPr>
        <w:r>
          <w:fldChar w:fldCharType="begin"/>
        </w:r>
        <w:r w:rsidR="00F02728">
          <w:instrText>PAGE   \* MERGEFORMAT</w:instrText>
        </w:r>
        <w:r>
          <w:fldChar w:fldCharType="separate"/>
        </w:r>
        <w:r w:rsidR="00634429">
          <w:rPr>
            <w:noProof/>
          </w:rPr>
          <w:t>2</w:t>
        </w:r>
        <w:r>
          <w:fldChar w:fldCharType="end"/>
        </w:r>
      </w:p>
    </w:sdtContent>
  </w:sdt>
  <w:p w:rsidR="00F02728" w:rsidRDefault="00F0272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2F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FD249A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20B2E"/>
    <w:multiLevelType w:val="hybridMultilevel"/>
    <w:tmpl w:val="30A46456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E7660"/>
    <w:multiLevelType w:val="hybridMultilevel"/>
    <w:tmpl w:val="9802FFF4"/>
    <w:lvl w:ilvl="0" w:tplc="2C24B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F266E"/>
    <w:multiLevelType w:val="hybridMultilevel"/>
    <w:tmpl w:val="AA36507A"/>
    <w:lvl w:ilvl="0" w:tplc="9D9A895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C82D28"/>
    <w:multiLevelType w:val="hybridMultilevel"/>
    <w:tmpl w:val="60B0C2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D612A"/>
    <w:multiLevelType w:val="hybridMultilevel"/>
    <w:tmpl w:val="FDAE89D4"/>
    <w:lvl w:ilvl="0" w:tplc="F30497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7C967C2"/>
    <w:multiLevelType w:val="hybridMultilevel"/>
    <w:tmpl w:val="92BCE022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2BC0"/>
    <w:multiLevelType w:val="hybridMultilevel"/>
    <w:tmpl w:val="C5A6E8D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A6BB3"/>
    <w:multiLevelType w:val="hybridMultilevel"/>
    <w:tmpl w:val="53D8202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6CD7"/>
    <w:multiLevelType w:val="hybridMultilevel"/>
    <w:tmpl w:val="C598056C"/>
    <w:lvl w:ilvl="0" w:tplc="4F9A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42822"/>
    <w:multiLevelType w:val="hybridMultilevel"/>
    <w:tmpl w:val="7BD03E2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C011B"/>
    <w:multiLevelType w:val="hybridMultilevel"/>
    <w:tmpl w:val="C598056C"/>
    <w:lvl w:ilvl="0" w:tplc="4F9A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56B2D"/>
    <w:multiLevelType w:val="hybridMultilevel"/>
    <w:tmpl w:val="43AC9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0"/>
  </w:num>
  <w:num w:numId="13">
    <w:abstractNumId w:val="3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Светлана">
    <w15:presenceInfo w15:providerId="None" w15:userId="Светла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76"/>
    <w:rsid w:val="00002B4D"/>
    <w:rsid w:val="0000548D"/>
    <w:rsid w:val="00032FEC"/>
    <w:rsid w:val="0003464A"/>
    <w:rsid w:val="0004431F"/>
    <w:rsid w:val="00064B48"/>
    <w:rsid w:val="00071F7E"/>
    <w:rsid w:val="00080181"/>
    <w:rsid w:val="00083423"/>
    <w:rsid w:val="0008428A"/>
    <w:rsid w:val="00091263"/>
    <w:rsid w:val="000968B8"/>
    <w:rsid w:val="000A0025"/>
    <w:rsid w:val="000A2246"/>
    <w:rsid w:val="000B5EBD"/>
    <w:rsid w:val="000D4A26"/>
    <w:rsid w:val="000E03C5"/>
    <w:rsid w:val="000F0432"/>
    <w:rsid w:val="000F0BF1"/>
    <w:rsid w:val="001028A0"/>
    <w:rsid w:val="001211DE"/>
    <w:rsid w:val="001276E6"/>
    <w:rsid w:val="0013008B"/>
    <w:rsid w:val="00131DD9"/>
    <w:rsid w:val="001639D4"/>
    <w:rsid w:val="001661F8"/>
    <w:rsid w:val="00181D53"/>
    <w:rsid w:val="00182938"/>
    <w:rsid w:val="001A147B"/>
    <w:rsid w:val="001A159F"/>
    <w:rsid w:val="001A2FC8"/>
    <w:rsid w:val="001A3A08"/>
    <w:rsid w:val="001A5B7F"/>
    <w:rsid w:val="001C4095"/>
    <w:rsid w:val="001D30EC"/>
    <w:rsid w:val="001D52DB"/>
    <w:rsid w:val="001D6B8B"/>
    <w:rsid w:val="001E747C"/>
    <w:rsid w:val="0021277C"/>
    <w:rsid w:val="00221C75"/>
    <w:rsid w:val="00230698"/>
    <w:rsid w:val="00233321"/>
    <w:rsid w:val="00237B55"/>
    <w:rsid w:val="00251805"/>
    <w:rsid w:val="00272F68"/>
    <w:rsid w:val="002739F5"/>
    <w:rsid w:val="0027413D"/>
    <w:rsid w:val="00280176"/>
    <w:rsid w:val="0028186C"/>
    <w:rsid w:val="00282B83"/>
    <w:rsid w:val="00287D04"/>
    <w:rsid w:val="002A1DCC"/>
    <w:rsid w:val="002B12D6"/>
    <w:rsid w:val="002B46F3"/>
    <w:rsid w:val="002C4546"/>
    <w:rsid w:val="002E5543"/>
    <w:rsid w:val="002F4F03"/>
    <w:rsid w:val="0030013A"/>
    <w:rsid w:val="00305BC1"/>
    <w:rsid w:val="003111A8"/>
    <w:rsid w:val="003510C4"/>
    <w:rsid w:val="00354ECE"/>
    <w:rsid w:val="0036093D"/>
    <w:rsid w:val="00361E4A"/>
    <w:rsid w:val="00372841"/>
    <w:rsid w:val="00383876"/>
    <w:rsid w:val="003879FD"/>
    <w:rsid w:val="003A1B3E"/>
    <w:rsid w:val="003A736B"/>
    <w:rsid w:val="003B0625"/>
    <w:rsid w:val="003C121F"/>
    <w:rsid w:val="003D4B4C"/>
    <w:rsid w:val="003F65F5"/>
    <w:rsid w:val="00404032"/>
    <w:rsid w:val="00405C6C"/>
    <w:rsid w:val="004151B8"/>
    <w:rsid w:val="004406D0"/>
    <w:rsid w:val="00466AA9"/>
    <w:rsid w:val="00475C7D"/>
    <w:rsid w:val="00484E67"/>
    <w:rsid w:val="00490071"/>
    <w:rsid w:val="004B2315"/>
    <w:rsid w:val="004C42F4"/>
    <w:rsid w:val="004E57A2"/>
    <w:rsid w:val="005015C7"/>
    <w:rsid w:val="00505A31"/>
    <w:rsid w:val="005140F0"/>
    <w:rsid w:val="00526BBF"/>
    <w:rsid w:val="00530508"/>
    <w:rsid w:val="00542530"/>
    <w:rsid w:val="00576385"/>
    <w:rsid w:val="0057771F"/>
    <w:rsid w:val="00584F86"/>
    <w:rsid w:val="005A245F"/>
    <w:rsid w:val="005A4C99"/>
    <w:rsid w:val="005B3290"/>
    <w:rsid w:val="005C4220"/>
    <w:rsid w:val="005C5FCF"/>
    <w:rsid w:val="005C65CE"/>
    <w:rsid w:val="005C7413"/>
    <w:rsid w:val="005D3146"/>
    <w:rsid w:val="005D566A"/>
    <w:rsid w:val="005E4742"/>
    <w:rsid w:val="005E58CD"/>
    <w:rsid w:val="005F3005"/>
    <w:rsid w:val="00610954"/>
    <w:rsid w:val="0061572D"/>
    <w:rsid w:val="00616006"/>
    <w:rsid w:val="00616DEA"/>
    <w:rsid w:val="006224DB"/>
    <w:rsid w:val="00632D9A"/>
    <w:rsid w:val="00634429"/>
    <w:rsid w:val="00635725"/>
    <w:rsid w:val="00640395"/>
    <w:rsid w:val="00655812"/>
    <w:rsid w:val="00670A4F"/>
    <w:rsid w:val="00673466"/>
    <w:rsid w:val="006801F2"/>
    <w:rsid w:val="006C0CB7"/>
    <w:rsid w:val="006C1B7D"/>
    <w:rsid w:val="006C20B6"/>
    <w:rsid w:val="006D0976"/>
    <w:rsid w:val="006E2D69"/>
    <w:rsid w:val="006F27F9"/>
    <w:rsid w:val="00705424"/>
    <w:rsid w:val="00723AC6"/>
    <w:rsid w:val="007248CC"/>
    <w:rsid w:val="007272D5"/>
    <w:rsid w:val="007363C4"/>
    <w:rsid w:val="0073683A"/>
    <w:rsid w:val="00745AC5"/>
    <w:rsid w:val="00747901"/>
    <w:rsid w:val="00747DDA"/>
    <w:rsid w:val="0075344B"/>
    <w:rsid w:val="00753B02"/>
    <w:rsid w:val="007579D6"/>
    <w:rsid w:val="007622B6"/>
    <w:rsid w:val="007704E6"/>
    <w:rsid w:val="00774FF8"/>
    <w:rsid w:val="007844B7"/>
    <w:rsid w:val="007914EA"/>
    <w:rsid w:val="00793358"/>
    <w:rsid w:val="00797EE0"/>
    <w:rsid w:val="007B1940"/>
    <w:rsid w:val="007B565F"/>
    <w:rsid w:val="007C310E"/>
    <w:rsid w:val="0080422B"/>
    <w:rsid w:val="00814681"/>
    <w:rsid w:val="00821E4E"/>
    <w:rsid w:val="00831329"/>
    <w:rsid w:val="00860747"/>
    <w:rsid w:val="00863B53"/>
    <w:rsid w:val="008834EF"/>
    <w:rsid w:val="00884C44"/>
    <w:rsid w:val="008934B8"/>
    <w:rsid w:val="00893D82"/>
    <w:rsid w:val="00896C65"/>
    <w:rsid w:val="008A5A63"/>
    <w:rsid w:val="008A5A91"/>
    <w:rsid w:val="008B75FA"/>
    <w:rsid w:val="008B7FEA"/>
    <w:rsid w:val="009045AD"/>
    <w:rsid w:val="0090605D"/>
    <w:rsid w:val="0092168F"/>
    <w:rsid w:val="009551FE"/>
    <w:rsid w:val="00960670"/>
    <w:rsid w:val="0096189D"/>
    <w:rsid w:val="009720CC"/>
    <w:rsid w:val="00973563"/>
    <w:rsid w:val="00977752"/>
    <w:rsid w:val="00980C9C"/>
    <w:rsid w:val="00981549"/>
    <w:rsid w:val="0098421B"/>
    <w:rsid w:val="00986216"/>
    <w:rsid w:val="00995455"/>
    <w:rsid w:val="00997BF7"/>
    <w:rsid w:val="009B2422"/>
    <w:rsid w:val="009C0E26"/>
    <w:rsid w:val="009C2611"/>
    <w:rsid w:val="009D0F16"/>
    <w:rsid w:val="00A37B97"/>
    <w:rsid w:val="00A50C54"/>
    <w:rsid w:val="00A71803"/>
    <w:rsid w:val="00AB43EB"/>
    <w:rsid w:val="00AF00C0"/>
    <w:rsid w:val="00AF3984"/>
    <w:rsid w:val="00B07069"/>
    <w:rsid w:val="00B115B5"/>
    <w:rsid w:val="00B2684B"/>
    <w:rsid w:val="00B32AE9"/>
    <w:rsid w:val="00B33FAB"/>
    <w:rsid w:val="00B47FAA"/>
    <w:rsid w:val="00B5261B"/>
    <w:rsid w:val="00B5579B"/>
    <w:rsid w:val="00B87223"/>
    <w:rsid w:val="00BA1068"/>
    <w:rsid w:val="00BA208E"/>
    <w:rsid w:val="00BB2125"/>
    <w:rsid w:val="00BD312C"/>
    <w:rsid w:val="00BE4C7B"/>
    <w:rsid w:val="00BF52FA"/>
    <w:rsid w:val="00C0167D"/>
    <w:rsid w:val="00C05690"/>
    <w:rsid w:val="00C32276"/>
    <w:rsid w:val="00C47C65"/>
    <w:rsid w:val="00C534AF"/>
    <w:rsid w:val="00C55B26"/>
    <w:rsid w:val="00C64151"/>
    <w:rsid w:val="00C71460"/>
    <w:rsid w:val="00C87414"/>
    <w:rsid w:val="00C93E83"/>
    <w:rsid w:val="00CC0715"/>
    <w:rsid w:val="00CD1253"/>
    <w:rsid w:val="00CD6489"/>
    <w:rsid w:val="00CE5393"/>
    <w:rsid w:val="00D16615"/>
    <w:rsid w:val="00D206DE"/>
    <w:rsid w:val="00D20BD5"/>
    <w:rsid w:val="00D24117"/>
    <w:rsid w:val="00D31863"/>
    <w:rsid w:val="00D34D30"/>
    <w:rsid w:val="00D82231"/>
    <w:rsid w:val="00D84455"/>
    <w:rsid w:val="00D959BB"/>
    <w:rsid w:val="00D96B56"/>
    <w:rsid w:val="00DB2AF2"/>
    <w:rsid w:val="00DD50AF"/>
    <w:rsid w:val="00DF7C2D"/>
    <w:rsid w:val="00E11439"/>
    <w:rsid w:val="00E21BB4"/>
    <w:rsid w:val="00E43B81"/>
    <w:rsid w:val="00E6090D"/>
    <w:rsid w:val="00E6114C"/>
    <w:rsid w:val="00E61FF9"/>
    <w:rsid w:val="00E822D0"/>
    <w:rsid w:val="00E94317"/>
    <w:rsid w:val="00E946DD"/>
    <w:rsid w:val="00EA028C"/>
    <w:rsid w:val="00EB6FB6"/>
    <w:rsid w:val="00EC1B61"/>
    <w:rsid w:val="00EC39E1"/>
    <w:rsid w:val="00EC47BD"/>
    <w:rsid w:val="00ED3DBA"/>
    <w:rsid w:val="00EF3D22"/>
    <w:rsid w:val="00F02728"/>
    <w:rsid w:val="00F035E9"/>
    <w:rsid w:val="00F21C2B"/>
    <w:rsid w:val="00F231DC"/>
    <w:rsid w:val="00F510EE"/>
    <w:rsid w:val="00F5662D"/>
    <w:rsid w:val="00F80ACC"/>
    <w:rsid w:val="00F846BF"/>
    <w:rsid w:val="00F93042"/>
    <w:rsid w:val="00FB02D4"/>
    <w:rsid w:val="00FB1955"/>
    <w:rsid w:val="00FC4EF8"/>
    <w:rsid w:val="00FC60A1"/>
    <w:rsid w:val="00FD75A7"/>
    <w:rsid w:val="00FE7858"/>
    <w:rsid w:val="00FF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0F16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D0F1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Title"/>
    <w:basedOn w:val="a"/>
    <w:link w:val="a5"/>
    <w:uiPriority w:val="10"/>
    <w:qFormat/>
    <w:rsid w:val="009D0F16"/>
    <w:pPr>
      <w:autoSpaceDE w:val="0"/>
      <w:autoSpaceDN w:val="0"/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D0F1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A5B7F"/>
    <w:pPr>
      <w:ind w:left="720"/>
      <w:contextualSpacing/>
    </w:pPr>
  </w:style>
  <w:style w:type="table" w:styleId="a7">
    <w:name w:val="Table Grid"/>
    <w:basedOn w:val="a1"/>
    <w:uiPriority w:val="59"/>
    <w:rsid w:val="001A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A1B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1B3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1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1B3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1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1B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1B3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F80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rsid w:val="009551FE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F02728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27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2728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27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05E1-CB56-4431-97FE-C02EEC20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2024-01-29T11:32:00Z</cp:lastPrinted>
  <dcterms:created xsi:type="dcterms:W3CDTF">2024-01-30T13:06:00Z</dcterms:created>
  <dcterms:modified xsi:type="dcterms:W3CDTF">2024-01-31T08:10:00Z</dcterms:modified>
</cp:coreProperties>
</file>