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45" w:rsidRPr="001F19C4" w:rsidRDefault="00290045" w:rsidP="00290045">
      <w:pPr>
        <w:spacing w:after="0" w:line="240" w:lineRule="auto"/>
        <w:ind w:left="11482" w:right="11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1F19C4">
        <w:rPr>
          <w:rFonts w:eastAsia="Times New Roman" w:cs="Times New Roman"/>
          <w:b/>
          <w:sz w:val="24"/>
          <w:szCs w:val="24"/>
          <w:lang w:eastAsia="ru-RU"/>
        </w:rPr>
        <w:t>Додаток 3</w:t>
      </w:r>
    </w:p>
    <w:p w:rsidR="00290045" w:rsidRPr="008D6CA2" w:rsidRDefault="00637965" w:rsidP="00637965">
      <w:pPr>
        <w:tabs>
          <w:tab w:val="left" w:pos="14884"/>
        </w:tabs>
        <w:spacing w:after="0" w:line="240" w:lineRule="auto"/>
        <w:ind w:left="10490" w:right="244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8D6CA2">
        <w:rPr>
          <w:rFonts w:eastAsia="Times New Roman" w:cs="Times New Roman"/>
          <w:b/>
          <w:bCs/>
          <w:sz w:val="24"/>
          <w:szCs w:val="24"/>
          <w:lang w:eastAsia="uk-UA"/>
        </w:rPr>
        <w:t>ЗАТВЕРДЖЕНО</w:t>
      </w:r>
    </w:p>
    <w:p w:rsidR="008D6CA2" w:rsidRPr="008D6CA2" w:rsidRDefault="008D6CA2" w:rsidP="009C0DE5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490" w:right="244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8D6CA2">
        <w:rPr>
          <w:rFonts w:eastAsia="Times New Roman" w:cs="Times New Roman"/>
          <w:b/>
          <w:bCs/>
          <w:sz w:val="24"/>
          <w:szCs w:val="24"/>
          <w:lang w:eastAsia="uk-UA"/>
        </w:rPr>
        <w:t>Д</w:t>
      </w:r>
      <w:r w:rsidR="0090779F" w:rsidRPr="008D6CA2">
        <w:rPr>
          <w:rFonts w:eastAsia="Times New Roman" w:cs="Times New Roman"/>
          <w:b/>
          <w:bCs/>
          <w:sz w:val="24"/>
          <w:szCs w:val="24"/>
          <w:lang w:eastAsia="uk-UA"/>
        </w:rPr>
        <w:t>иректор Р</w:t>
      </w:r>
      <w:r w:rsidR="00290045" w:rsidRPr="008D6CA2">
        <w:rPr>
          <w:rFonts w:eastAsia="Times New Roman" w:cs="Times New Roman"/>
          <w:b/>
          <w:bCs/>
          <w:sz w:val="24"/>
          <w:szCs w:val="24"/>
          <w:lang w:eastAsia="uk-UA"/>
        </w:rPr>
        <w:t>егіонального центру з надання БВПД</w:t>
      </w:r>
      <w:r w:rsidR="009C0DE5" w:rsidRPr="008D6CA2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290045" w:rsidRPr="008D6CA2" w:rsidRDefault="00290045" w:rsidP="009C0DE5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490" w:right="244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8D6CA2">
        <w:rPr>
          <w:rFonts w:eastAsia="Times New Roman" w:cs="Times New Roman"/>
          <w:b/>
          <w:bCs/>
          <w:sz w:val="24"/>
          <w:szCs w:val="24"/>
          <w:lang w:eastAsia="uk-UA"/>
        </w:rPr>
        <w:t>у Житомирській області</w:t>
      </w:r>
    </w:p>
    <w:p w:rsidR="00290045" w:rsidRPr="008D6CA2" w:rsidRDefault="009C0DE5" w:rsidP="00290045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490" w:right="244"/>
        <w:rPr>
          <w:rFonts w:eastAsia="Times New Roman" w:cs="Times New Roman"/>
          <w:b/>
          <w:bCs/>
          <w:sz w:val="24"/>
          <w:szCs w:val="24"/>
          <w:lang w:eastAsia="uk-UA"/>
        </w:rPr>
      </w:pPr>
      <w:r w:rsidRPr="008D6CA2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                  </w:t>
      </w:r>
      <w:r w:rsidR="002671EA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                   </w:t>
      </w:r>
      <w:r w:rsidRPr="008D6CA2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 </w:t>
      </w:r>
      <w:r w:rsidR="002671EA">
        <w:rPr>
          <w:rFonts w:eastAsia="Times New Roman" w:cs="Times New Roman"/>
          <w:b/>
          <w:bCs/>
          <w:sz w:val="24"/>
          <w:szCs w:val="24"/>
          <w:lang w:eastAsia="uk-UA"/>
        </w:rPr>
        <w:t>Олександр ГЕРБЕДА</w:t>
      </w:r>
    </w:p>
    <w:p w:rsidR="008D6CA2" w:rsidRDefault="008D6CA2" w:rsidP="00290045">
      <w:pPr>
        <w:tabs>
          <w:tab w:val="left" w:pos="13467"/>
          <w:tab w:val="left" w:pos="13750"/>
          <w:tab w:val="left" w:pos="14884"/>
        </w:tabs>
        <w:spacing w:after="0" w:line="240" w:lineRule="auto"/>
        <w:ind w:left="10490" w:right="677"/>
        <w:rPr>
          <w:rFonts w:eastAsia="Times New Roman" w:cs="Times New Roman"/>
          <w:b/>
          <w:bCs/>
          <w:sz w:val="24"/>
          <w:szCs w:val="24"/>
          <w:u w:val="single"/>
          <w:lang w:eastAsia="uk-UA"/>
        </w:rPr>
      </w:pPr>
    </w:p>
    <w:p w:rsidR="00290045" w:rsidRPr="008D6CA2" w:rsidRDefault="00290045" w:rsidP="00290045">
      <w:pPr>
        <w:tabs>
          <w:tab w:val="left" w:pos="13467"/>
          <w:tab w:val="left" w:pos="13750"/>
          <w:tab w:val="left" w:pos="14884"/>
        </w:tabs>
        <w:spacing w:after="0" w:line="240" w:lineRule="auto"/>
        <w:ind w:left="10490" w:right="677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8D6CA2">
        <w:rPr>
          <w:rFonts w:eastAsia="Times New Roman" w:cs="Times New Roman"/>
          <w:b/>
          <w:bCs/>
          <w:sz w:val="24"/>
          <w:szCs w:val="24"/>
          <w:u w:val="single"/>
          <w:lang w:eastAsia="uk-UA"/>
        </w:rPr>
        <w:t>«</w:t>
      </w:r>
      <w:r w:rsidR="0090779F" w:rsidRPr="008D6CA2">
        <w:rPr>
          <w:rFonts w:eastAsia="Times New Roman" w:cs="Times New Roman"/>
          <w:b/>
          <w:bCs/>
          <w:sz w:val="24"/>
          <w:szCs w:val="24"/>
          <w:u w:val="single"/>
          <w:lang w:eastAsia="uk-UA"/>
        </w:rPr>
        <w:t xml:space="preserve">      </w:t>
      </w:r>
      <w:r w:rsidRPr="008D6CA2">
        <w:rPr>
          <w:rFonts w:eastAsia="Times New Roman" w:cs="Times New Roman"/>
          <w:b/>
          <w:bCs/>
          <w:sz w:val="24"/>
          <w:szCs w:val="24"/>
          <w:u w:val="single"/>
          <w:lang w:eastAsia="uk-UA"/>
        </w:rPr>
        <w:t xml:space="preserve">» </w:t>
      </w:r>
      <w:r w:rsidR="00A678B5">
        <w:rPr>
          <w:rFonts w:eastAsia="Times New Roman" w:cs="Times New Roman"/>
          <w:b/>
          <w:bCs/>
          <w:sz w:val="24"/>
          <w:szCs w:val="24"/>
          <w:u w:val="single"/>
          <w:lang w:eastAsia="uk-UA"/>
        </w:rPr>
        <w:t xml:space="preserve"> _____________2022</w:t>
      </w:r>
      <w:r w:rsidRPr="008D6CA2">
        <w:rPr>
          <w:rFonts w:eastAsia="Times New Roman" w:cs="Times New Roman"/>
          <w:b/>
          <w:bCs/>
          <w:sz w:val="24"/>
          <w:szCs w:val="24"/>
          <w:u w:val="single"/>
          <w:lang w:eastAsia="uk-UA"/>
        </w:rPr>
        <w:t xml:space="preserve"> року</w:t>
      </w:r>
    </w:p>
    <w:p w:rsidR="00290045" w:rsidRPr="00DB53AC" w:rsidRDefault="00290045" w:rsidP="0029004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F19C4">
        <w:rPr>
          <w:rFonts w:eastAsia="Times New Roman" w:cs="Courier New"/>
          <w:b/>
          <w:sz w:val="28"/>
          <w:szCs w:val="28"/>
          <w:bdr w:val="none" w:sz="0" w:space="0" w:color="auto" w:frame="1"/>
          <w:lang w:eastAsia="uk-UA"/>
        </w:rPr>
        <w:t xml:space="preserve">Річний план діяльності </w:t>
      </w:r>
      <w:r w:rsidRPr="00DB53AC">
        <w:rPr>
          <w:rFonts w:eastAsia="Times New Roman" w:cs="Times New Roman"/>
          <w:b/>
          <w:sz w:val="28"/>
          <w:szCs w:val="28"/>
          <w:lang w:eastAsia="ru-RU"/>
        </w:rPr>
        <w:t>Регіонального центру з надання безоплатної вторинної правової допомоги</w:t>
      </w:r>
    </w:p>
    <w:p w:rsidR="00290045" w:rsidRPr="001F19C4" w:rsidRDefault="00290045" w:rsidP="0029004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B53AC">
        <w:rPr>
          <w:rFonts w:eastAsia="Times New Roman" w:cs="Times New Roman"/>
          <w:b/>
          <w:sz w:val="28"/>
          <w:szCs w:val="28"/>
          <w:lang w:eastAsia="ru-RU"/>
        </w:rPr>
        <w:t>у Житомирській області</w:t>
      </w:r>
      <w:r w:rsidRPr="001F19C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B53AC">
        <w:rPr>
          <w:rFonts w:eastAsia="Times New Roman" w:cs="Times New Roman"/>
          <w:b/>
          <w:sz w:val="28"/>
          <w:szCs w:val="28"/>
          <w:lang w:eastAsia="ru-RU"/>
        </w:rPr>
        <w:t>на 20</w:t>
      </w:r>
      <w:r w:rsidR="002671EA">
        <w:rPr>
          <w:rFonts w:eastAsia="Times New Roman" w:cs="Times New Roman"/>
          <w:b/>
          <w:sz w:val="28"/>
          <w:szCs w:val="28"/>
          <w:lang w:eastAsia="ru-RU"/>
        </w:rPr>
        <w:t>22</w:t>
      </w:r>
      <w:r w:rsidRPr="00DB53AC">
        <w:rPr>
          <w:rFonts w:eastAsia="Times New Roman" w:cs="Times New Roman"/>
          <w:b/>
          <w:sz w:val="28"/>
          <w:szCs w:val="28"/>
          <w:lang w:eastAsia="ru-RU"/>
        </w:rPr>
        <w:t xml:space="preserve"> рік</w:t>
      </w:r>
    </w:p>
    <w:tbl>
      <w:tblPr>
        <w:tblW w:w="1614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06"/>
        <w:gridCol w:w="2022"/>
        <w:gridCol w:w="2268"/>
        <w:gridCol w:w="2977"/>
        <w:gridCol w:w="1701"/>
        <w:gridCol w:w="1704"/>
        <w:gridCol w:w="1135"/>
        <w:gridCol w:w="993"/>
        <w:gridCol w:w="993"/>
        <w:gridCol w:w="993"/>
        <w:gridCol w:w="848"/>
      </w:tblGrid>
      <w:tr w:rsidR="007557A1" w:rsidRPr="001F19C4" w:rsidTr="00CA786D">
        <w:trPr>
          <w:trHeight w:val="960"/>
        </w:trPr>
        <w:tc>
          <w:tcPr>
            <w:tcW w:w="506" w:type="dxa"/>
            <w:vMerge w:val="restart"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п/п</w:t>
            </w:r>
          </w:p>
        </w:tc>
        <w:tc>
          <w:tcPr>
            <w:tcW w:w="2022" w:type="dxa"/>
            <w:vMerge w:val="restart"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Найменування завдання </w:t>
            </w:r>
            <w:r w:rsidRPr="001F19C4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br/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  <w:vAlign w:val="center"/>
          </w:tcPr>
          <w:p w:rsidR="007557A1" w:rsidRPr="001F19C4" w:rsidRDefault="002671EA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2671EA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Мета та основний результат виконання завдання</w:t>
            </w:r>
            <w:r w:rsidR="007557A1" w:rsidRPr="001F19C4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FBD4B4" w:themeFill="accent6" w:themeFillTint="66"/>
            <w:vAlign w:val="center"/>
            <w:hideMark/>
          </w:tcPr>
          <w:p w:rsidR="007557A1" w:rsidRPr="001F19C4" w:rsidRDefault="002671EA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2671EA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Найменування заходу для виконання завдання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Відповідальний виконавець заходу (на рівні відділу або службової особи*)</w:t>
            </w:r>
          </w:p>
        </w:tc>
        <w:tc>
          <w:tcPr>
            <w:tcW w:w="1704" w:type="dxa"/>
            <w:vMerge w:val="restart"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Найменування показників результативності виконання заходу</w:t>
            </w:r>
          </w:p>
        </w:tc>
        <w:tc>
          <w:tcPr>
            <w:tcW w:w="4962" w:type="dxa"/>
            <w:gridSpan w:val="5"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Значення показників результативності виконання заходу по регіону в цілому та в розрізі виконавців окремо</w:t>
            </w:r>
          </w:p>
        </w:tc>
      </w:tr>
      <w:tr w:rsidR="007557A1" w:rsidRPr="001F19C4" w:rsidTr="00CA786D">
        <w:trPr>
          <w:trHeight w:val="278"/>
        </w:trPr>
        <w:tc>
          <w:tcPr>
            <w:tcW w:w="506" w:type="dxa"/>
            <w:vMerge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04" w:type="dxa"/>
            <w:vMerge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5" w:type="dxa"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848" w:type="dxa"/>
            <w:shd w:val="clear" w:color="auto" w:fill="FBD4B4" w:themeFill="accent6" w:themeFillTint="66"/>
            <w:vAlign w:val="center"/>
            <w:hideMark/>
          </w:tcPr>
          <w:p w:rsidR="007557A1" w:rsidRPr="001F19C4" w:rsidRDefault="007557A1" w:rsidP="002900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F19C4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</w:tr>
      <w:tr w:rsidR="007557A1" w:rsidRPr="001F19C4" w:rsidTr="00CA786D">
        <w:trPr>
          <w:trHeight w:val="209"/>
        </w:trPr>
        <w:tc>
          <w:tcPr>
            <w:tcW w:w="16140" w:type="dxa"/>
            <w:gridSpan w:val="11"/>
            <w:shd w:val="clear" w:color="auto" w:fill="B8CCE4" w:themeFill="accent1" w:themeFillTint="66"/>
          </w:tcPr>
          <w:p w:rsidR="007557A1" w:rsidRPr="00124720" w:rsidRDefault="00124720" w:rsidP="00124720">
            <w:pPr>
              <w:spacing w:after="0" w:line="240" w:lineRule="auto"/>
              <w:ind w:firstLine="578"/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4720">
              <w:rPr>
                <w:b/>
                <w:color w:val="000000" w:themeColor="text1"/>
                <w:sz w:val="28"/>
                <w:szCs w:val="28"/>
              </w:rPr>
              <w:t xml:space="preserve">Ціль 1. </w:t>
            </w:r>
            <w:r>
              <w:rPr>
                <w:b/>
                <w:color w:val="000000" w:themeColor="text1"/>
                <w:sz w:val="28"/>
                <w:szCs w:val="28"/>
              </w:rPr>
              <w:t>Підвищення рівня правової свідомості, правової культури та правової освіченості людей</w:t>
            </w:r>
          </w:p>
        </w:tc>
      </w:tr>
      <w:tr w:rsidR="009E46C5" w:rsidRPr="0008577B" w:rsidTr="00CA786D">
        <w:trPr>
          <w:trHeight w:val="1215"/>
        </w:trPr>
        <w:tc>
          <w:tcPr>
            <w:tcW w:w="506" w:type="dxa"/>
            <w:vMerge w:val="restart"/>
            <w:shd w:val="clear" w:color="auto" w:fill="auto"/>
            <w:vAlign w:val="center"/>
            <w:hideMark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08577B">
              <w:rPr>
                <w:rFonts w:eastAsia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2022" w:type="dxa"/>
            <w:vMerge w:val="restart"/>
            <w:shd w:val="clear" w:color="auto" w:fill="auto"/>
            <w:hideMark/>
          </w:tcPr>
          <w:p w:rsidR="009E46C5" w:rsidRPr="00CD0049" w:rsidRDefault="009E46C5" w:rsidP="002671EA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1.1. Підвищення спроможності людей самостійно ідентифікувати правові потреби та правові проблеми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E5152A">
            <w:pPr>
              <w:rPr>
                <w:sz w:val="18"/>
                <w:szCs w:val="18"/>
                <w:lang w:eastAsia="uk-UA"/>
              </w:rPr>
            </w:pPr>
            <w:r w:rsidRPr="00CD0049">
              <w:rPr>
                <w:sz w:val="18"/>
                <w:szCs w:val="18"/>
                <w:lang w:eastAsia="uk-UA"/>
              </w:rPr>
              <w:t>Обізнаність громадян про права та захист в разі їх порушення</w:t>
            </w:r>
          </w:p>
        </w:tc>
        <w:tc>
          <w:tcPr>
            <w:tcW w:w="2977" w:type="dxa"/>
            <w:shd w:val="clear" w:color="auto" w:fill="auto"/>
          </w:tcPr>
          <w:p w:rsidR="009E46C5" w:rsidRPr="00CD0049" w:rsidRDefault="009E46C5" w:rsidP="001B1294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1.1.1.1. Підготовка рекомендацій правових тематик для актуалізації  Плану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віповідно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до регіональних потреб</w:t>
            </w:r>
          </w:p>
        </w:tc>
        <w:tc>
          <w:tcPr>
            <w:tcW w:w="1701" w:type="dxa"/>
          </w:tcPr>
          <w:p w:rsidR="009E46C5" w:rsidRPr="00CD0049" w:rsidRDefault="009E46C5" w:rsidP="0029004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9E46C5" w:rsidP="0029004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9E46C5" w:rsidRPr="00CD0049" w:rsidRDefault="009E46C5" w:rsidP="00CE791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shd w:val="clear" w:color="auto" w:fill="auto"/>
          </w:tcPr>
          <w:p w:rsidR="009E46C5" w:rsidRPr="00CD0049" w:rsidRDefault="009E46C5" w:rsidP="009E16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рекомендацій</w:t>
            </w:r>
          </w:p>
        </w:tc>
        <w:tc>
          <w:tcPr>
            <w:tcW w:w="1135" w:type="dxa"/>
            <w:shd w:val="clear" w:color="auto" w:fill="auto"/>
            <w:hideMark/>
          </w:tcPr>
          <w:p w:rsidR="009E46C5" w:rsidRPr="00CD0049" w:rsidRDefault="009E46C5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9E46C5" w:rsidRPr="00CD0049" w:rsidRDefault="009E46C5"/>
        </w:tc>
        <w:tc>
          <w:tcPr>
            <w:tcW w:w="993" w:type="dxa"/>
            <w:shd w:val="clear" w:color="auto" w:fill="auto"/>
            <w:hideMark/>
          </w:tcPr>
          <w:p w:rsidR="009E46C5" w:rsidRPr="00CD0049" w:rsidRDefault="009E46C5"/>
        </w:tc>
        <w:tc>
          <w:tcPr>
            <w:tcW w:w="993" w:type="dxa"/>
            <w:shd w:val="clear" w:color="auto" w:fill="auto"/>
            <w:hideMark/>
          </w:tcPr>
          <w:p w:rsidR="009E46C5" w:rsidRPr="00CD0049" w:rsidRDefault="009E46C5"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48" w:type="dxa"/>
            <w:shd w:val="clear" w:color="auto" w:fill="auto"/>
            <w:hideMark/>
          </w:tcPr>
          <w:p w:rsidR="009E46C5" w:rsidRPr="00CD0049" w:rsidRDefault="009E46C5">
            <w:pPr>
              <w:rPr>
                <w:b/>
              </w:rPr>
            </w:pPr>
            <w:r w:rsidRPr="00CD0049">
              <w:rPr>
                <w:rFonts w:eastAsia="Times New Roman" w:cs="Times New Roman"/>
                <w:b/>
                <w:sz w:val="20"/>
                <w:szCs w:val="20"/>
                <w:lang w:eastAsia="uk-UA"/>
              </w:rPr>
              <w:t>2</w:t>
            </w:r>
          </w:p>
        </w:tc>
      </w:tr>
      <w:tr w:rsidR="009E46C5" w:rsidRPr="0008577B" w:rsidTr="00CA786D">
        <w:trPr>
          <w:trHeight w:val="1678"/>
        </w:trPr>
        <w:tc>
          <w:tcPr>
            <w:tcW w:w="506" w:type="dxa"/>
            <w:vMerge/>
            <w:shd w:val="clear" w:color="auto" w:fill="auto"/>
            <w:vAlign w:val="center"/>
            <w:hideMark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:rsidR="009E46C5" w:rsidRPr="00CD0049" w:rsidRDefault="009E46C5" w:rsidP="0029004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46C5" w:rsidRPr="00CD0049" w:rsidRDefault="009E46C5" w:rsidP="00E51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rFonts w:cs="Times New Roman"/>
                <w:bCs/>
                <w:sz w:val="18"/>
                <w:szCs w:val="18"/>
              </w:rPr>
              <w:t>Обізнаність потенційних суб'єктів права на БВПД про права та захист</w:t>
            </w:r>
          </w:p>
        </w:tc>
        <w:tc>
          <w:tcPr>
            <w:tcW w:w="2977" w:type="dxa"/>
            <w:shd w:val="clear" w:color="auto" w:fill="auto"/>
          </w:tcPr>
          <w:p w:rsidR="009E46C5" w:rsidRPr="00CD0049" w:rsidRDefault="009E46C5" w:rsidP="00E5152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1.1.2.2.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щодо державних реформ, важливих змін в законодавстві, основних прав та гарантій, порядку їх реалізації у доступний для цільових груп спосіб</w:t>
            </w:r>
          </w:p>
        </w:tc>
        <w:tc>
          <w:tcPr>
            <w:tcW w:w="1701" w:type="dxa"/>
          </w:tcPr>
          <w:p w:rsidR="009E46C5" w:rsidRPr="00CD0049" w:rsidRDefault="009E46C5" w:rsidP="00CE791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9E46C5" w:rsidP="00CE791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9E46C5" w:rsidRPr="00CD0049" w:rsidRDefault="009E46C5" w:rsidP="001B12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shd w:val="clear" w:color="auto" w:fill="auto"/>
          </w:tcPr>
          <w:p w:rsidR="009E46C5" w:rsidRPr="00CD0049" w:rsidRDefault="009E46C5" w:rsidP="009970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135" w:type="dxa"/>
            <w:shd w:val="clear" w:color="auto" w:fill="auto"/>
            <w:hideMark/>
          </w:tcPr>
          <w:p w:rsidR="009E46C5" w:rsidRPr="00CD0049" w:rsidRDefault="009E46C5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9E46C5" w:rsidRPr="00CD0049" w:rsidRDefault="009E46C5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9E46C5" w:rsidRPr="00CD0049" w:rsidRDefault="009E46C5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9E46C5" w:rsidRPr="00CD0049" w:rsidRDefault="009E46C5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48" w:type="dxa"/>
            <w:shd w:val="clear" w:color="auto" w:fill="auto"/>
            <w:hideMark/>
          </w:tcPr>
          <w:p w:rsidR="009E46C5" w:rsidRPr="00CD0049" w:rsidRDefault="009E46C5" w:rsidP="00BC74C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4</w:t>
            </w:r>
          </w:p>
        </w:tc>
      </w:tr>
      <w:tr w:rsidR="009E46C5" w:rsidRPr="0008577B" w:rsidTr="00CA786D">
        <w:trPr>
          <w:trHeight w:val="660"/>
        </w:trPr>
        <w:tc>
          <w:tcPr>
            <w:tcW w:w="506" w:type="dxa"/>
            <w:vMerge/>
            <w:shd w:val="clear" w:color="auto" w:fill="auto"/>
            <w:vAlign w:val="center"/>
            <w:hideMark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:rsidR="009E46C5" w:rsidRPr="00CD0049" w:rsidRDefault="009E46C5" w:rsidP="0029004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46C5" w:rsidRPr="00CD0049" w:rsidRDefault="009E46C5" w:rsidP="002900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BC74CE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1.1.2.3. Поширення інформаційних матеріалів, друк публікацій у ЗМІ та на офіційних сторінках партнерів  (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медіазвіт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>)</w:t>
            </w:r>
          </w:p>
          <w:p w:rsidR="009E46C5" w:rsidRPr="00CD0049" w:rsidRDefault="009E46C5" w:rsidP="00A678B5">
            <w:pPr>
              <w:spacing w:after="0" w:line="12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46C5" w:rsidRPr="00CD0049" w:rsidRDefault="009E46C5" w:rsidP="00BC74C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9E46C5" w:rsidRPr="00CD0049" w:rsidRDefault="009E46C5" w:rsidP="00BC74C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9E16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публікацій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60</w:t>
            </w:r>
          </w:p>
        </w:tc>
      </w:tr>
      <w:tr w:rsidR="009E46C5" w:rsidRPr="0008577B" w:rsidTr="00CA786D">
        <w:trPr>
          <w:trHeight w:val="660"/>
        </w:trPr>
        <w:tc>
          <w:tcPr>
            <w:tcW w:w="506" w:type="dxa"/>
            <w:vMerge/>
            <w:shd w:val="clear" w:color="auto" w:fill="auto"/>
            <w:vAlign w:val="center"/>
            <w:hideMark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:rsidR="009E46C5" w:rsidRPr="00CD0049" w:rsidRDefault="009E46C5" w:rsidP="0029004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46C5" w:rsidRPr="00CD0049" w:rsidRDefault="009E46C5" w:rsidP="002900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BC74CE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1.1.3.1. Організація та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для учнів, студентів закладів професійної (професійно-технічної) та вищої освіти та іншої молоді відповідних громад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</w:tr>
      <w:tr w:rsidR="009E46C5" w:rsidRPr="0008577B" w:rsidTr="00CA786D">
        <w:trPr>
          <w:trHeight w:val="660"/>
        </w:trPr>
        <w:tc>
          <w:tcPr>
            <w:tcW w:w="506" w:type="dxa"/>
            <w:vMerge/>
            <w:shd w:val="clear" w:color="auto" w:fill="auto"/>
            <w:vAlign w:val="center"/>
            <w:hideMark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:rsidR="009E46C5" w:rsidRPr="00CD0049" w:rsidRDefault="009E46C5" w:rsidP="0029004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46C5" w:rsidRPr="00CD0049" w:rsidRDefault="009E46C5" w:rsidP="002900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E46C5" w:rsidRDefault="009E46C5" w:rsidP="00BC74CE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1.1.3.2. Організація та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для осіб з інвалідністю</w:t>
            </w:r>
          </w:p>
          <w:p w:rsidR="00A678B5" w:rsidRPr="00CD0049" w:rsidRDefault="00A678B5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9E46C5" w:rsidRPr="0008577B" w:rsidTr="00CA786D">
        <w:trPr>
          <w:trHeight w:val="660"/>
        </w:trPr>
        <w:tc>
          <w:tcPr>
            <w:tcW w:w="506" w:type="dxa"/>
            <w:vMerge/>
            <w:shd w:val="clear" w:color="auto" w:fill="auto"/>
            <w:vAlign w:val="center"/>
            <w:hideMark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:rsidR="009E46C5" w:rsidRPr="00CD0049" w:rsidRDefault="009E46C5" w:rsidP="0029004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46C5" w:rsidRPr="00CD0049" w:rsidRDefault="009E46C5" w:rsidP="002900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E46C5" w:rsidRDefault="009E46C5" w:rsidP="00BC74CE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1.1.3.3. Організація та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для ветеранів війни та осіб, на яких поширюється дія Закону України "Про статус ветеранів війни, гарантії їх соціального захисту, та особи, які звернулися для отримання такого статусу"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9E46C5" w:rsidRPr="0008577B" w:rsidTr="00CA786D">
        <w:trPr>
          <w:trHeight w:val="660"/>
        </w:trPr>
        <w:tc>
          <w:tcPr>
            <w:tcW w:w="506" w:type="dxa"/>
            <w:vMerge/>
            <w:shd w:val="clear" w:color="auto" w:fill="auto"/>
            <w:vAlign w:val="center"/>
            <w:hideMark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:rsidR="009E46C5" w:rsidRPr="00CD0049" w:rsidRDefault="009E46C5" w:rsidP="0029004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6C5" w:rsidRPr="00CD0049" w:rsidRDefault="009E46C5" w:rsidP="002900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E46C5" w:rsidRDefault="009E46C5" w:rsidP="00BC74CE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1.1.3.4. Організація та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для широкого кола осіб,щодо запобігання домашнього насильства або насильства за ознакою статі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</w:tr>
      <w:tr w:rsidR="009E46C5" w:rsidRPr="0008577B" w:rsidTr="00CA786D">
        <w:trPr>
          <w:trHeight w:val="660"/>
        </w:trPr>
        <w:tc>
          <w:tcPr>
            <w:tcW w:w="506" w:type="dxa"/>
            <w:vMerge/>
            <w:shd w:val="clear" w:color="auto" w:fill="auto"/>
            <w:vAlign w:val="center"/>
            <w:hideMark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  <w:hideMark/>
          </w:tcPr>
          <w:p w:rsidR="009E46C5" w:rsidRPr="00CD0049" w:rsidRDefault="009E46C5" w:rsidP="0029004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E46C5" w:rsidRPr="00CD0049" w:rsidRDefault="009E46C5" w:rsidP="009E46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Відновлення порушених прав людей, які належать до найбільш вразливих соціальних груп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9E46C5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1.1.4.1. Налагодження ефективної взаємодії та</w:t>
            </w:r>
          </w:p>
          <w:p w:rsidR="009E46C5" w:rsidRPr="00CD0049" w:rsidRDefault="009E46C5" w:rsidP="009E46C5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співпраці з службами підтримки</w:t>
            </w:r>
          </w:p>
          <w:p w:rsidR="009E46C5" w:rsidRPr="00CD0049" w:rsidRDefault="009E46C5" w:rsidP="009E46C5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постраждалих від  домашнього</w:t>
            </w:r>
          </w:p>
          <w:p w:rsidR="009E46C5" w:rsidRPr="00CD0049" w:rsidRDefault="009E46C5" w:rsidP="009E46C5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насильства, а також іншими органами та установами, на які покладено функції із</w:t>
            </w:r>
          </w:p>
          <w:p w:rsidR="009E46C5" w:rsidRPr="00CD0049" w:rsidRDefault="009E46C5" w:rsidP="009E46C5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здійснення заходів у сфері запобігання</w:t>
            </w:r>
          </w:p>
          <w:p w:rsidR="009E46C5" w:rsidRDefault="009E46C5" w:rsidP="009E46C5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та протидії домашньому насильству, проведення спільних заходів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1B129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9E46C5" w:rsidRPr="0008577B" w:rsidTr="00CA786D">
        <w:trPr>
          <w:trHeight w:val="660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46C5" w:rsidRPr="00CD0049" w:rsidRDefault="009E46C5" w:rsidP="0029004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6C5" w:rsidRPr="00CD0049" w:rsidRDefault="009E46C5" w:rsidP="002900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83430" w:rsidRPr="00CD0049" w:rsidRDefault="009E46C5" w:rsidP="009E46C5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1.1.4.2. Проведення інформаційно-просвітницьких заходів, кампаній, акцій в тому числі з питань протидії домашньому насильству, гендерної рівності, захисту прав дитини від насильства в сім'ї. Обговорення  питань формування толерантного ставлення до людей, у тому числі недискримінації за будь-якими ознаками</w:t>
            </w:r>
          </w:p>
          <w:p w:rsidR="00F83430" w:rsidRPr="00CD0049" w:rsidRDefault="00F83430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46C5" w:rsidRPr="00CD0049" w:rsidRDefault="009E46C5" w:rsidP="009E46C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9E46C5" w:rsidP="009E46C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9E46C5" w:rsidRPr="00CD0049" w:rsidRDefault="009E46C5" w:rsidP="005418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9E46C5" w:rsidRPr="00CD0049" w:rsidRDefault="009E46C5" w:rsidP="005418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54184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54184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54184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54184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6C5" w:rsidRPr="00CD0049" w:rsidRDefault="009E46C5" w:rsidP="0054184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014A1A" w:rsidRPr="0008577B" w:rsidTr="00CA786D">
        <w:trPr>
          <w:trHeight w:val="220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14A1A" w:rsidRPr="0008577B" w:rsidRDefault="00014A1A" w:rsidP="00290045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  <w:r w:rsidRPr="0008577B">
              <w:rPr>
                <w:sz w:val="18"/>
                <w:szCs w:val="18"/>
                <w:lang w:eastAsia="uk-UA"/>
              </w:rPr>
              <w:t>2</w:t>
            </w:r>
          </w:p>
          <w:p w:rsidR="00014A1A" w:rsidRPr="0008577B" w:rsidRDefault="00014A1A" w:rsidP="00290045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014A1A" w:rsidRPr="0008577B" w:rsidRDefault="00014A1A" w:rsidP="00290045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014A1A" w:rsidRPr="0008577B" w:rsidRDefault="00014A1A" w:rsidP="00290045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014A1A" w:rsidRPr="0008577B" w:rsidRDefault="00014A1A" w:rsidP="00290045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014A1A" w:rsidRPr="0008577B" w:rsidRDefault="00014A1A" w:rsidP="00290045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014A1A" w:rsidRPr="0008577B" w:rsidRDefault="00014A1A" w:rsidP="00290045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  <w:p w:rsidR="00014A1A" w:rsidRPr="0008577B" w:rsidRDefault="00014A1A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99700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D0049">
              <w:rPr>
                <w:b/>
                <w:sz w:val="20"/>
                <w:szCs w:val="20"/>
              </w:rPr>
              <w:lastRenderedPageBreak/>
              <w:t xml:space="preserve">Завдання 1.2 Підвищення готовності людей </w:t>
            </w:r>
            <w:r w:rsidRPr="00CD0049">
              <w:rPr>
                <w:b/>
                <w:sz w:val="20"/>
                <w:szCs w:val="20"/>
              </w:rPr>
              <w:lastRenderedPageBreak/>
              <w:t>докладати зусиль для вирішення правових проблем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4A1A" w:rsidRPr="00CD0049" w:rsidRDefault="00014A1A" w:rsidP="00E515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lastRenderedPageBreak/>
              <w:t xml:space="preserve">Механізми вирішення проблем у правовий спосіб за допомогою </w:t>
            </w: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lastRenderedPageBreak/>
              <w:t>системи БПД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4A1A" w:rsidRDefault="00014A1A" w:rsidP="00BC74CE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lastRenderedPageBreak/>
              <w:t xml:space="preserve">Захід 1.2.1.1. Складання та розміщення, редагування та підтримка  юридичних консультацій шляхом наповнення </w:t>
            </w:r>
            <w:r w:rsidRPr="00CD0049">
              <w:rPr>
                <w:b/>
                <w:sz w:val="18"/>
                <w:szCs w:val="18"/>
                <w:lang w:eastAsia="uk-UA"/>
              </w:rPr>
              <w:lastRenderedPageBreak/>
              <w:t>довідково-інформаційної платформи правових консультацій «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WikiLegalaid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>»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4A1A" w:rsidRPr="00CD0049" w:rsidRDefault="00014A1A" w:rsidP="00BC74C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en-US" w:eastAsia="uk-UA"/>
              </w:rPr>
              <w:lastRenderedPageBreak/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en-US" w:eastAsia="uk-UA"/>
              </w:rPr>
              <w:t xml:space="preserve"> Т.О.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A1A" w:rsidRPr="00CD0049" w:rsidRDefault="00014A1A" w:rsidP="009E16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 xml:space="preserve">Кількість розміщених/ оновлених </w:t>
            </w: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консультацій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12</w:t>
            </w:r>
          </w:p>
        </w:tc>
      </w:tr>
      <w:tr w:rsidR="00014A1A" w:rsidRPr="0008577B" w:rsidTr="00CA786D">
        <w:trPr>
          <w:trHeight w:val="220"/>
        </w:trPr>
        <w:tc>
          <w:tcPr>
            <w:tcW w:w="506" w:type="dxa"/>
            <w:vMerge/>
            <w:shd w:val="clear" w:color="auto" w:fill="auto"/>
            <w:hideMark/>
          </w:tcPr>
          <w:p w:rsidR="00014A1A" w:rsidRPr="0008577B" w:rsidRDefault="00014A1A" w:rsidP="00290045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hideMark/>
          </w:tcPr>
          <w:p w:rsidR="00014A1A" w:rsidRPr="00CD0049" w:rsidRDefault="00014A1A" w:rsidP="0099700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4A1A" w:rsidRPr="00CD0049" w:rsidRDefault="00014A1A" w:rsidP="00E515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4A1A" w:rsidRDefault="00014A1A" w:rsidP="00BC74CE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1.2.1.2. Наповнення актуальною інформацією порталу системи БПД РЦ та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МЦ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та сторінок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Facebook</w:t>
            </w:r>
            <w:proofErr w:type="spellEnd"/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4A1A" w:rsidRPr="00CD0049" w:rsidRDefault="00014A1A" w:rsidP="00BC74C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A1A" w:rsidRPr="00CD0049" w:rsidRDefault="00014A1A" w:rsidP="009E16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інформацій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120</w:t>
            </w:r>
          </w:p>
        </w:tc>
      </w:tr>
      <w:tr w:rsidR="00014A1A" w:rsidRPr="0008577B" w:rsidTr="00CA786D">
        <w:trPr>
          <w:trHeight w:val="220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4A1A" w:rsidRPr="0008577B" w:rsidRDefault="00014A1A" w:rsidP="00290045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99700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A" w:rsidRPr="00CD0049" w:rsidRDefault="00014A1A" w:rsidP="00E515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4A1A" w:rsidRDefault="00014A1A" w:rsidP="00BC74CE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1.2.1.3. Залучення волонтерів регіональними та місцевими центрами з надання БВПД для забезпечення доступу людей до БПД та </w:t>
            </w:r>
            <w:r w:rsidR="00CA786D">
              <w:rPr>
                <w:b/>
                <w:sz w:val="18"/>
                <w:szCs w:val="18"/>
                <w:lang w:eastAsia="uk-UA"/>
              </w:rPr>
              <w:t>право просвітництва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4A1A" w:rsidRPr="00CD0049" w:rsidRDefault="00014A1A" w:rsidP="00BC74C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A1A" w:rsidRPr="00CD0049" w:rsidRDefault="00014A1A" w:rsidP="009E16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волонтерів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Відповідно до кількості бажаючих та кількості осіб, що пройшли курс "Волонтер БПД"</w:t>
            </w:r>
          </w:p>
          <w:p w:rsidR="00014A1A" w:rsidRPr="00CD0049" w:rsidRDefault="00014A1A" w:rsidP="00BC74CE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</w:p>
        </w:tc>
      </w:tr>
      <w:tr w:rsidR="009E46C5" w:rsidRPr="0008577B" w:rsidTr="00CA786D">
        <w:trPr>
          <w:trHeight w:val="695"/>
        </w:trPr>
        <w:tc>
          <w:tcPr>
            <w:tcW w:w="16140" w:type="dxa"/>
            <w:gridSpan w:val="11"/>
            <w:shd w:val="clear" w:color="auto" w:fill="auto"/>
            <w:vAlign w:val="center"/>
          </w:tcPr>
          <w:p w:rsidR="009E46C5" w:rsidRPr="00CD0049" w:rsidRDefault="00014A1A" w:rsidP="00147E4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eastAsia="uk-UA"/>
              </w:rPr>
            </w:pPr>
            <w:r w:rsidRPr="00CD0049">
              <w:rPr>
                <w:b/>
                <w:sz w:val="28"/>
                <w:szCs w:val="28"/>
              </w:rPr>
              <w:t>Ціль 2. Мотивація та стимулювання людей до вирішення правових проблем у правовий спосіб, зокрема за допомогою механізмів системи надання безоплатної правової допомоги</w:t>
            </w:r>
          </w:p>
        </w:tc>
      </w:tr>
      <w:tr w:rsidR="00014A1A" w:rsidRPr="0008577B" w:rsidTr="00CA786D">
        <w:trPr>
          <w:trHeight w:val="695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014A1A" w:rsidRPr="0008577B" w:rsidRDefault="00DE7C4F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014A1A" w:rsidRPr="00CD0049" w:rsidRDefault="00DE7C4F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  <w:t>Завдання 2.1</w:t>
            </w:r>
            <w:r w:rsidR="00014A1A" w:rsidRPr="00CD0049"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  <w:t xml:space="preserve"> Підвищення рівня обізнаності людей про систему надання безоплатної правової допомоги</w:t>
            </w:r>
          </w:p>
          <w:p w:rsidR="00014A1A" w:rsidRPr="00CD0049" w:rsidRDefault="00014A1A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  <w:p w:rsidR="00014A1A" w:rsidRPr="00CD0049" w:rsidRDefault="00014A1A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  <w:p w:rsidR="00014A1A" w:rsidRPr="00CD0049" w:rsidRDefault="00014A1A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014A1A" w:rsidRPr="00CD0049" w:rsidRDefault="00014A1A" w:rsidP="00E5152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rFonts w:cs="Calibri"/>
                <w:bCs/>
                <w:sz w:val="18"/>
                <w:szCs w:val="18"/>
              </w:rPr>
              <w:t>Проведення моніторингу обізнаності  та оцінки правових потреб</w:t>
            </w:r>
          </w:p>
        </w:tc>
        <w:tc>
          <w:tcPr>
            <w:tcW w:w="2977" w:type="dxa"/>
            <w:shd w:val="clear" w:color="auto" w:fill="auto"/>
          </w:tcPr>
          <w:p w:rsidR="00014A1A" w:rsidRDefault="00014A1A" w:rsidP="009523B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2.1.1.1. Участь у проведенні соціологічних досліджень щодо задоволеності клієнтів роботою системи БПД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rFonts w:eastAsia="Times New Roman" w:cs="Times New Roman"/>
                <w:bCs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014A1A" w:rsidRPr="00CD0049" w:rsidRDefault="00014A1A" w:rsidP="00A84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014A1A" w:rsidRPr="00CD0049" w:rsidRDefault="00014A1A" w:rsidP="00A84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  <w:p w:rsidR="00014A1A" w:rsidRPr="00CD0049" w:rsidRDefault="00014A1A" w:rsidP="009A2C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704" w:type="dxa"/>
            <w:shd w:val="clear" w:color="auto" w:fill="auto"/>
          </w:tcPr>
          <w:p w:rsidR="00014A1A" w:rsidRPr="00CD0049" w:rsidRDefault="00014A1A" w:rsidP="00FC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досліджень / анкет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014A1A" w:rsidRPr="00CD0049" w:rsidRDefault="00014A1A" w:rsidP="00FC1060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За дорученням </w:t>
            </w:r>
            <w:proofErr w:type="spellStart"/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КЦ</w:t>
            </w:r>
            <w:proofErr w:type="spellEnd"/>
          </w:p>
        </w:tc>
      </w:tr>
      <w:tr w:rsidR="002F0164" w:rsidRPr="0008577B" w:rsidTr="00CA786D">
        <w:trPr>
          <w:trHeight w:val="695"/>
        </w:trPr>
        <w:tc>
          <w:tcPr>
            <w:tcW w:w="506" w:type="dxa"/>
            <w:vMerge/>
            <w:shd w:val="clear" w:color="auto" w:fill="auto"/>
            <w:vAlign w:val="center"/>
          </w:tcPr>
          <w:p w:rsidR="002F0164" w:rsidRPr="0008577B" w:rsidRDefault="002F0164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2F0164" w:rsidRPr="00CD0049" w:rsidRDefault="002F0164" w:rsidP="00E55B8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F0164" w:rsidRPr="00CD0049" w:rsidRDefault="002F0164" w:rsidP="00E5152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Calibri"/>
                <w:bCs/>
                <w:sz w:val="18"/>
                <w:szCs w:val="18"/>
                <w:lang w:eastAsia="uk-UA"/>
              </w:rPr>
              <w:t>Підвищення взаємодії з органами адвокатського самоврядування.</w:t>
            </w:r>
          </w:p>
          <w:p w:rsidR="002F0164" w:rsidRPr="00CD0049" w:rsidRDefault="002F0164" w:rsidP="00E5152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sz w:val="18"/>
                <w:szCs w:val="18"/>
                <w:lang w:eastAsia="uk-UA"/>
              </w:rPr>
              <w:t>Підвищення якості надання БПД адвокатами.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0164" w:rsidRDefault="002F0164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2.1.2.1.  Підготовка та висвітлення інформації про доступ до БПД, результати захисту прав та інтересів громадян системою БПД на власних ресурсах (успішна практика)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2F0164" w:rsidRPr="00CD0049" w:rsidRDefault="002F0164" w:rsidP="009A2C2C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Н.В.</w:t>
            </w:r>
          </w:p>
          <w:p w:rsidR="002F0164" w:rsidRPr="00CD0049" w:rsidRDefault="002F0164" w:rsidP="009A2C2C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704" w:type="dxa"/>
            <w:shd w:val="clear" w:color="auto" w:fill="auto"/>
          </w:tcPr>
          <w:p w:rsidR="002F0164" w:rsidRPr="00CD0049" w:rsidRDefault="002F0164" w:rsidP="00B64B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Висвітлення успішних кейсів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2F0164" w:rsidRPr="00CD0049" w:rsidRDefault="002F0164" w:rsidP="000E2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Висвітлення на сайт</w:t>
            </w:r>
          </w:p>
        </w:tc>
      </w:tr>
      <w:tr w:rsidR="009E46C5" w:rsidRPr="0008577B" w:rsidTr="00CA786D">
        <w:trPr>
          <w:trHeight w:val="256"/>
        </w:trPr>
        <w:tc>
          <w:tcPr>
            <w:tcW w:w="506" w:type="dxa"/>
            <w:vMerge/>
            <w:shd w:val="clear" w:color="auto" w:fill="auto"/>
            <w:vAlign w:val="center"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9E46C5" w:rsidRPr="00CD0049" w:rsidRDefault="009E46C5" w:rsidP="00E55B8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46C5" w:rsidRPr="00CD0049" w:rsidRDefault="009E46C5" w:rsidP="00B64BB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E46C5" w:rsidRDefault="002F0164" w:rsidP="00F419AD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2.1.2.2. Проведення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середньомаштабних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маштабних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заходів в тому числі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онлайн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. Проведення дня відкритих дверей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2F0164" w:rsidRPr="00CD0049" w:rsidRDefault="002F0164" w:rsidP="002F016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2F0164" w:rsidP="002F016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704" w:type="dxa"/>
            <w:shd w:val="clear" w:color="auto" w:fill="auto"/>
          </w:tcPr>
          <w:p w:rsidR="009E46C5" w:rsidRPr="00CD0049" w:rsidRDefault="002F0164" w:rsidP="00F419AD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 xml:space="preserve">Кількість </w:t>
            </w: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заходіва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9E46C5" w:rsidRPr="00CD0049" w:rsidRDefault="009E46C5" w:rsidP="00E90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46C5" w:rsidRPr="00CD0049" w:rsidRDefault="002F0164" w:rsidP="00E90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E46C5" w:rsidRPr="00CD0049" w:rsidRDefault="009E46C5" w:rsidP="00E90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46C5" w:rsidRPr="00CD0049" w:rsidRDefault="002F0164" w:rsidP="00E90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9E46C5" w:rsidRPr="00CD0049" w:rsidRDefault="002F0164" w:rsidP="00E905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b/>
                <w:sz w:val="20"/>
                <w:szCs w:val="20"/>
              </w:rPr>
              <w:t>2</w:t>
            </w:r>
          </w:p>
        </w:tc>
      </w:tr>
      <w:tr w:rsidR="002F0164" w:rsidRPr="0008577B" w:rsidTr="00CA786D">
        <w:trPr>
          <w:trHeight w:val="695"/>
        </w:trPr>
        <w:tc>
          <w:tcPr>
            <w:tcW w:w="506" w:type="dxa"/>
            <w:vMerge/>
            <w:shd w:val="clear" w:color="auto" w:fill="auto"/>
            <w:vAlign w:val="center"/>
          </w:tcPr>
          <w:p w:rsidR="002F0164" w:rsidRPr="0008577B" w:rsidRDefault="002F0164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2F0164" w:rsidRPr="00CD0049" w:rsidRDefault="002F0164" w:rsidP="00E55B8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0164" w:rsidRPr="00CD0049" w:rsidRDefault="002F0164" w:rsidP="00B64BB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shd w:val="clear" w:color="auto" w:fill="auto"/>
          </w:tcPr>
          <w:p w:rsidR="002F0164" w:rsidRDefault="002F0164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2.1.3.1. Розміщення зовнішньої соціальної реклами про право на безоплатну правову допомогу у разі виділення рекламних площ на безоплатній основі  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0164" w:rsidRPr="00CD0049" w:rsidRDefault="002F0164" w:rsidP="00633AD1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  <w:p w:rsidR="00EC0AC1" w:rsidRPr="00CD0049" w:rsidRDefault="00EC0AC1" w:rsidP="00633AD1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Куратова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М.Л.</w:t>
            </w:r>
          </w:p>
        </w:tc>
        <w:tc>
          <w:tcPr>
            <w:tcW w:w="1704" w:type="dxa"/>
            <w:shd w:val="clear" w:color="auto" w:fill="auto"/>
          </w:tcPr>
          <w:p w:rsidR="002F0164" w:rsidRPr="00CD0049" w:rsidRDefault="002F0164" w:rsidP="00B64B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розміщеної реклами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2F0164" w:rsidRPr="00CD0049" w:rsidRDefault="002F0164" w:rsidP="00E905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>За наявності фінансових ресурсів</w:t>
            </w:r>
          </w:p>
        </w:tc>
      </w:tr>
      <w:tr w:rsidR="00EC0AC1" w:rsidRPr="0008577B" w:rsidTr="00CA786D">
        <w:trPr>
          <w:trHeight w:val="548"/>
        </w:trPr>
        <w:tc>
          <w:tcPr>
            <w:tcW w:w="506" w:type="dxa"/>
            <w:vMerge/>
            <w:shd w:val="clear" w:color="auto" w:fill="auto"/>
            <w:vAlign w:val="center"/>
          </w:tcPr>
          <w:p w:rsidR="00EC0AC1" w:rsidRPr="0008577B" w:rsidRDefault="00EC0AC1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EC0AC1" w:rsidRPr="00CD0049" w:rsidRDefault="00EC0AC1" w:rsidP="00E55B8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C0AC1" w:rsidRPr="00CD0049" w:rsidRDefault="00EC0AC1" w:rsidP="00B64BB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C0AC1" w:rsidRPr="00CD0049" w:rsidRDefault="00EC0AC1" w:rsidP="00F419AD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2.1.3.2. Забезпечення друку рекламної та сувенірної продукції (календарі, значки, ручки, папки, блокноти тощо), виготовлення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брендованих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рекламних матеріалів (вивіски, інформаційні </w:t>
            </w: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lastRenderedPageBreak/>
              <w:t xml:space="preserve">стійки,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пресбанери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тощо)</w:t>
            </w:r>
          </w:p>
        </w:tc>
        <w:tc>
          <w:tcPr>
            <w:tcW w:w="1701" w:type="dxa"/>
          </w:tcPr>
          <w:p w:rsidR="00EC0AC1" w:rsidRPr="00CD0049" w:rsidRDefault="00EC0AC1" w:rsidP="00633AD1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lastRenderedPageBreak/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  <w:p w:rsidR="00EC0AC1" w:rsidRPr="00CD0049" w:rsidRDefault="00EC0AC1" w:rsidP="00633A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Куратова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М.Л.</w:t>
            </w:r>
          </w:p>
        </w:tc>
        <w:tc>
          <w:tcPr>
            <w:tcW w:w="1704" w:type="dxa"/>
            <w:shd w:val="clear" w:color="auto" w:fill="auto"/>
          </w:tcPr>
          <w:p w:rsidR="00EC0AC1" w:rsidRPr="00CD0049" w:rsidRDefault="00EC0AC1" w:rsidP="00B64B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публікування успішних практик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EC0AC1" w:rsidRPr="00CD0049" w:rsidRDefault="00EC0AC1" w:rsidP="00E905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>За наявності фінансових ресурсів</w:t>
            </w:r>
          </w:p>
        </w:tc>
      </w:tr>
      <w:tr w:rsidR="00DE7C4F" w:rsidRPr="0008577B" w:rsidTr="00CA786D">
        <w:trPr>
          <w:trHeight w:val="695"/>
        </w:trPr>
        <w:tc>
          <w:tcPr>
            <w:tcW w:w="506" w:type="dxa"/>
            <w:vMerge/>
            <w:shd w:val="clear" w:color="auto" w:fill="auto"/>
            <w:vAlign w:val="center"/>
          </w:tcPr>
          <w:p w:rsidR="00DE7C4F" w:rsidRPr="0008577B" w:rsidRDefault="00DE7C4F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DE7C4F" w:rsidRPr="00CD0049" w:rsidRDefault="00DE7C4F" w:rsidP="00E55B8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E7C4F" w:rsidRPr="00CD0049" w:rsidRDefault="00DE7C4F" w:rsidP="00E51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ru-RU" w:eastAsia="uk-UA"/>
              </w:rPr>
            </w:pPr>
            <w:proofErr w:type="spellStart"/>
            <w:r w:rsidRPr="00CD0049">
              <w:rPr>
                <w:rFonts w:eastAsia="Times New Roman" w:cs="Times New Roman"/>
                <w:sz w:val="18"/>
                <w:szCs w:val="18"/>
                <w:lang w:val="ru-RU" w:eastAsia="uk-UA"/>
              </w:rPr>
              <w:t>Поширення</w:t>
            </w:r>
            <w:proofErr w:type="spellEnd"/>
            <w:r w:rsidRPr="00CD0049">
              <w:rPr>
                <w:rFonts w:eastAsia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CD0049">
              <w:rPr>
                <w:rFonts w:eastAsia="Times New Roman" w:cs="Times New Roman"/>
                <w:sz w:val="18"/>
                <w:szCs w:val="18"/>
                <w:lang w:val="ru-RU" w:eastAsia="uk-UA"/>
              </w:rPr>
              <w:t>інформації</w:t>
            </w:r>
            <w:proofErr w:type="spellEnd"/>
            <w:r w:rsidRPr="00CD0049">
              <w:rPr>
                <w:rFonts w:eastAsia="Times New Roman" w:cs="Times New Roman"/>
                <w:sz w:val="18"/>
                <w:szCs w:val="18"/>
                <w:lang w:val="ru-RU" w:eastAsia="uk-UA"/>
              </w:rPr>
              <w:t xml:space="preserve"> про систему БПД </w:t>
            </w:r>
            <w:proofErr w:type="spellStart"/>
            <w:r w:rsidRPr="00CD0049">
              <w:rPr>
                <w:rFonts w:eastAsia="Times New Roman" w:cs="Times New Roman"/>
                <w:sz w:val="18"/>
                <w:szCs w:val="18"/>
                <w:lang w:val="ru-RU" w:eastAsia="uk-UA"/>
              </w:rPr>
              <w:t>партнерськими</w:t>
            </w:r>
            <w:proofErr w:type="spellEnd"/>
            <w:r w:rsidRPr="00CD0049">
              <w:rPr>
                <w:rFonts w:eastAsia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CD0049">
              <w:rPr>
                <w:rFonts w:eastAsia="Times New Roman" w:cs="Times New Roman"/>
                <w:sz w:val="18"/>
                <w:szCs w:val="18"/>
                <w:lang w:val="ru-RU" w:eastAsia="uk-UA"/>
              </w:rPr>
              <w:t>організаціями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E7C4F" w:rsidRDefault="00DE7C4F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2.1.4.2. Розміщення та підтримка в актуальному стані банера з єдиним телефонним номером системи БПД на сайтах, сторінках у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соцмережах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партнерських установ та організацій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E7C4F" w:rsidRPr="00CD0049" w:rsidRDefault="00DE7C4F" w:rsidP="0092266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704" w:type="dxa"/>
            <w:shd w:val="clear" w:color="auto" w:fill="auto"/>
          </w:tcPr>
          <w:p w:rsidR="00DE7C4F" w:rsidRPr="00CD0049" w:rsidRDefault="00DE7C4F" w:rsidP="00633A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Кількість розміщених банерів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DE7C4F" w:rsidRPr="00CD0049" w:rsidRDefault="00DE7C4F" w:rsidP="00605820">
            <w:pPr>
              <w:spacing w:after="0" w:line="240" w:lineRule="auto"/>
              <w:ind w:left="-108" w:right="-108"/>
              <w:jc w:val="center"/>
            </w:pPr>
            <w:r w:rsidRPr="00CD0049">
              <w:rPr>
                <w:sz w:val="20"/>
                <w:szCs w:val="20"/>
              </w:rPr>
              <w:t>Постійно/підтримка в актуальному стані</w:t>
            </w:r>
          </w:p>
        </w:tc>
      </w:tr>
      <w:tr w:rsidR="009D7F07" w:rsidRPr="0008577B" w:rsidTr="00CA786D">
        <w:trPr>
          <w:trHeight w:val="695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9D7F07" w:rsidRPr="0008577B" w:rsidRDefault="009D7F07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022" w:type="dxa"/>
            <w:shd w:val="clear" w:color="auto" w:fill="auto"/>
          </w:tcPr>
          <w:p w:rsidR="009D7F07" w:rsidRPr="00CD0049" w:rsidRDefault="009D7F07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Завдання 2.2 Підвищення рівня довіри людей до системи надання безоплатної правової допомоги</w:t>
            </w:r>
          </w:p>
        </w:tc>
        <w:tc>
          <w:tcPr>
            <w:tcW w:w="2268" w:type="dxa"/>
            <w:shd w:val="clear" w:color="auto" w:fill="auto"/>
          </w:tcPr>
          <w:p w:rsidR="009D7F07" w:rsidRPr="00CD0049" w:rsidRDefault="009D7F07" w:rsidP="00E5152A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sz w:val="18"/>
                <w:szCs w:val="18"/>
              </w:rPr>
              <w:t>Формування суспільної думки про високий професіоналізм юристів та адвокатів системи БПД, якісні послуги, що надаються центрами. Підвищення якості надання БПД.</w:t>
            </w:r>
          </w:p>
        </w:tc>
        <w:tc>
          <w:tcPr>
            <w:tcW w:w="2977" w:type="dxa"/>
            <w:shd w:val="clear" w:color="auto" w:fill="auto"/>
          </w:tcPr>
          <w:p w:rsidR="009D7F07" w:rsidRPr="00CD0049" w:rsidRDefault="009D7F07" w:rsidP="00E5152A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2.2.1.2 Участь працівників центрів у навчанні з питань гендерної рівності з метою формування та вдосконалення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компетенцій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701" w:type="dxa"/>
          </w:tcPr>
          <w:p w:rsidR="009D7F07" w:rsidRPr="00CD0049" w:rsidRDefault="009D7F07" w:rsidP="0092266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9D7F07" w:rsidRPr="00CD0049" w:rsidRDefault="009D7F07" w:rsidP="00B64B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працівників, які пройшли навчання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9D7F07" w:rsidRPr="00CD0049" w:rsidRDefault="009D7F07" w:rsidP="005D7CB5">
            <w:pPr>
              <w:ind w:right="-108"/>
              <w:jc w:val="center"/>
              <w:rPr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 xml:space="preserve">Відповідно до доручень </w:t>
            </w:r>
            <w:proofErr w:type="spellStart"/>
            <w:r w:rsidRPr="00CD0049">
              <w:rPr>
                <w:sz w:val="20"/>
                <w:szCs w:val="20"/>
              </w:rPr>
              <w:t>КЦ</w:t>
            </w:r>
            <w:proofErr w:type="spellEnd"/>
          </w:p>
        </w:tc>
      </w:tr>
      <w:tr w:rsidR="00CD25AD" w:rsidRPr="0008577B" w:rsidTr="00CA786D">
        <w:trPr>
          <w:trHeight w:val="695"/>
        </w:trPr>
        <w:tc>
          <w:tcPr>
            <w:tcW w:w="506" w:type="dxa"/>
            <w:vMerge/>
            <w:shd w:val="clear" w:color="auto" w:fill="auto"/>
            <w:vAlign w:val="center"/>
          </w:tcPr>
          <w:p w:rsidR="00CD25AD" w:rsidRPr="0008577B" w:rsidRDefault="00CD25AD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25AD" w:rsidRPr="00CD0049" w:rsidRDefault="00CD25AD" w:rsidP="009D7F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Завдання 2.3 Мінімізація бар’єрів доступу до послуг безоплатної правової допомоги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25AD" w:rsidRPr="00CD0049" w:rsidRDefault="00CD25AD" w:rsidP="00E51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975F0" w:rsidRDefault="00CD25AD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2.3.1.2. Забезпечення стану приміщень у відповідності до вимог державних будівельних норм стосовно доступності для осіб з інвалідністю (кнопка виклику, пандус, надання фізичної допомоги особам з інвалідністю)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CD25AD" w:rsidRPr="00CD0049" w:rsidRDefault="00CD25AD" w:rsidP="0092266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Вовнюк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О.В.</w:t>
            </w:r>
          </w:p>
          <w:p w:rsidR="00CD25AD" w:rsidRPr="00CD0049" w:rsidRDefault="00CD25AD" w:rsidP="0092266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Куратова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М.Л.</w:t>
            </w:r>
          </w:p>
        </w:tc>
        <w:tc>
          <w:tcPr>
            <w:tcW w:w="1704" w:type="dxa"/>
            <w:shd w:val="clear" w:color="auto" w:fill="auto"/>
          </w:tcPr>
          <w:p w:rsidR="00CD25AD" w:rsidRPr="00CD0049" w:rsidRDefault="00CD25AD" w:rsidP="00B64B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встановлень</w: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CD25AD" w:rsidRPr="00CD0049" w:rsidRDefault="00CD25AD" w:rsidP="005D7C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>При потребі та за наявності коштів</w:t>
            </w:r>
          </w:p>
        </w:tc>
      </w:tr>
      <w:tr w:rsidR="009E46C5" w:rsidRPr="0008577B" w:rsidTr="00CA786D">
        <w:trPr>
          <w:trHeight w:val="695"/>
        </w:trPr>
        <w:tc>
          <w:tcPr>
            <w:tcW w:w="506" w:type="dxa"/>
            <w:vMerge/>
            <w:shd w:val="clear" w:color="auto" w:fill="auto"/>
            <w:vAlign w:val="center"/>
          </w:tcPr>
          <w:p w:rsidR="009E46C5" w:rsidRPr="0008577B" w:rsidRDefault="009E46C5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  <w:vAlign w:val="center"/>
          </w:tcPr>
          <w:p w:rsidR="009E46C5" w:rsidRPr="00CD0049" w:rsidRDefault="009E46C5" w:rsidP="00E55B8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6C5" w:rsidRPr="00CD0049" w:rsidRDefault="009E46C5" w:rsidP="00E5152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E46C5" w:rsidRDefault="00CD25AD" w:rsidP="00E5152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2.3.2.2. Публічна презентація результатів діяльності РЦ та підпорядкованих йому </w:t>
            </w:r>
            <w:proofErr w:type="spellStart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МЦ</w:t>
            </w:r>
            <w:proofErr w:type="spellEnd"/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разом з бюро правової допомоги для громад, партнерів та ЗМІ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CD25AD" w:rsidRPr="00CD0049" w:rsidRDefault="00CD25AD" w:rsidP="00CD25A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Н.В.</w:t>
            </w:r>
          </w:p>
          <w:p w:rsidR="009E46C5" w:rsidRPr="00CD0049" w:rsidRDefault="00CD25AD" w:rsidP="00CD25A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704" w:type="dxa"/>
            <w:shd w:val="clear" w:color="auto" w:fill="auto"/>
          </w:tcPr>
          <w:p w:rsidR="009E46C5" w:rsidRPr="00CD0049" w:rsidRDefault="00884338" w:rsidP="00E515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презентацій</w:t>
            </w:r>
          </w:p>
        </w:tc>
        <w:tc>
          <w:tcPr>
            <w:tcW w:w="1135" w:type="dxa"/>
            <w:shd w:val="clear" w:color="auto" w:fill="auto"/>
          </w:tcPr>
          <w:p w:rsidR="009E46C5" w:rsidRPr="00CD0049" w:rsidRDefault="009E46C5" w:rsidP="00E51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46C5" w:rsidRPr="00CD0049" w:rsidRDefault="009E46C5" w:rsidP="00E5152A">
            <w:pPr>
              <w:ind w:right="-108"/>
              <w:jc w:val="center"/>
              <w:rPr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E46C5" w:rsidRPr="00CD0049" w:rsidRDefault="009E46C5" w:rsidP="00E5152A">
            <w:pPr>
              <w:ind w:left="-108" w:right="-109" w:firstLine="6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46C5" w:rsidRPr="00CD0049" w:rsidRDefault="009E46C5" w:rsidP="00E5152A">
            <w:pPr>
              <w:ind w:right="-108"/>
              <w:jc w:val="center"/>
              <w:rPr>
                <w:sz w:val="20"/>
                <w:szCs w:val="20"/>
              </w:rPr>
            </w:pPr>
            <w:r w:rsidRPr="00CD0049"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9E46C5" w:rsidRPr="00CD0049" w:rsidRDefault="00CD25AD" w:rsidP="00E5152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CD0049">
              <w:rPr>
                <w:b/>
                <w:sz w:val="20"/>
                <w:szCs w:val="20"/>
              </w:rPr>
              <w:t>2</w:t>
            </w:r>
          </w:p>
        </w:tc>
      </w:tr>
      <w:tr w:rsidR="009E46C5" w:rsidRPr="0008577B" w:rsidTr="00CA786D">
        <w:trPr>
          <w:trHeight w:val="813"/>
        </w:trPr>
        <w:tc>
          <w:tcPr>
            <w:tcW w:w="16140" w:type="dxa"/>
            <w:gridSpan w:val="11"/>
            <w:shd w:val="clear" w:color="auto" w:fill="auto"/>
            <w:vAlign w:val="center"/>
          </w:tcPr>
          <w:p w:rsidR="009E46C5" w:rsidRPr="00CD0049" w:rsidRDefault="00E975F0" w:rsidP="007557A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D0049">
              <w:rPr>
                <w:b/>
                <w:sz w:val="28"/>
                <w:szCs w:val="28"/>
              </w:rPr>
              <w:t>Ціль 3. Забезпечення вирішення проблем людей у правовий спосіб за допомогою існуючих та розвитку нових механізмів</w:t>
            </w:r>
          </w:p>
        </w:tc>
      </w:tr>
      <w:tr w:rsidR="00180BAA" w:rsidRPr="0008577B" w:rsidTr="00CA786D">
        <w:trPr>
          <w:trHeight w:val="695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180BAA" w:rsidRPr="0008577B" w:rsidRDefault="00180BAA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180BAA" w:rsidRPr="00CD0049" w:rsidRDefault="00180BAA" w:rsidP="0008577B">
            <w:pPr>
              <w:spacing w:after="0" w:line="240" w:lineRule="auto"/>
              <w:ind w:right="-108"/>
              <w:rPr>
                <w:b/>
                <w:bCs/>
                <w:i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3.1 Підвищення ефективності системи надання безоплатної правової допомоги та сприяння ефективності інституцій, з якими вона взаємодіє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80BAA" w:rsidRPr="00CD0049" w:rsidRDefault="00180BAA" w:rsidP="00702AC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D0049">
              <w:rPr>
                <w:sz w:val="18"/>
                <w:szCs w:val="18"/>
              </w:rPr>
              <w:t>Вирішення проблем у правовий спосіб завдяки ефективному та дієвому механізму надання БПД</w:t>
            </w:r>
          </w:p>
        </w:tc>
        <w:tc>
          <w:tcPr>
            <w:tcW w:w="2977" w:type="dxa"/>
            <w:shd w:val="clear" w:color="auto" w:fill="auto"/>
          </w:tcPr>
          <w:p w:rsidR="00180BAA" w:rsidRDefault="00180BAA" w:rsidP="000873F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D0049">
              <w:rPr>
                <w:b/>
                <w:sz w:val="18"/>
                <w:szCs w:val="18"/>
              </w:rPr>
              <w:t xml:space="preserve">Захід 3.1.1.1. Проведення інформаційних, робочих зустрічей з адвокатами, які надають БВПД з метою аналізу практики, обговорення проблемних питань системи БПД, адвокатської етики та дисциплінарної відповідальності адвокатів з адвокатами системи БВПД. Проведення «Дня адвокатського спілкування» для обміну досвідом та кращими практиками захисту. </w:t>
            </w:r>
            <w:r w:rsidRPr="00CD0049">
              <w:rPr>
                <w:b/>
                <w:sz w:val="18"/>
                <w:szCs w:val="18"/>
              </w:rPr>
              <w:lastRenderedPageBreak/>
              <w:t>Інформування адвокатів про зміни в законодавстві, щодо порядку надання БВПД, стандартів якості в цивільних та адміністративних справах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80BAA" w:rsidRPr="00CD0049" w:rsidRDefault="00180BAA" w:rsidP="0029004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lastRenderedPageBreak/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180BAA" w:rsidRPr="00CD0049" w:rsidRDefault="00180BAA" w:rsidP="00290045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704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проведених зустрічей</w:t>
            </w:r>
          </w:p>
        </w:tc>
        <w:tc>
          <w:tcPr>
            <w:tcW w:w="1135" w:type="dxa"/>
            <w:shd w:val="clear" w:color="auto" w:fill="auto"/>
          </w:tcPr>
          <w:p w:rsidR="00180BAA" w:rsidRPr="00CD0049" w:rsidRDefault="00180BAA" w:rsidP="00E975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049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E975F0">
            <w:pPr>
              <w:ind w:right="-108"/>
              <w:jc w:val="center"/>
            </w:pPr>
            <w:r w:rsidRPr="00CD0049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E975F0">
            <w:pPr>
              <w:ind w:right="-109"/>
              <w:jc w:val="center"/>
            </w:pPr>
            <w:r w:rsidRPr="00CD0049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E975F0">
            <w:pPr>
              <w:ind w:right="-108"/>
              <w:jc w:val="center"/>
            </w:pPr>
            <w:r w:rsidRPr="00CD0049">
              <w:rPr>
                <w:sz w:val="18"/>
                <w:szCs w:val="18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180BAA" w:rsidRPr="00CD0049" w:rsidRDefault="00180BAA" w:rsidP="00E975F0">
            <w:pPr>
              <w:ind w:right="-108"/>
              <w:jc w:val="center"/>
            </w:pPr>
            <w:r w:rsidRPr="00CD0049">
              <w:rPr>
                <w:sz w:val="18"/>
                <w:szCs w:val="18"/>
              </w:rPr>
              <w:t>4</w:t>
            </w:r>
          </w:p>
        </w:tc>
      </w:tr>
      <w:tr w:rsidR="00180BAA" w:rsidRPr="0008577B" w:rsidTr="00CA786D">
        <w:trPr>
          <w:trHeight w:val="264"/>
        </w:trPr>
        <w:tc>
          <w:tcPr>
            <w:tcW w:w="506" w:type="dxa"/>
            <w:vMerge/>
            <w:shd w:val="clear" w:color="auto" w:fill="auto"/>
            <w:vAlign w:val="center"/>
          </w:tcPr>
          <w:p w:rsidR="00180BAA" w:rsidRPr="0008577B" w:rsidRDefault="00180BAA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80BAA" w:rsidRPr="00CD0049" w:rsidRDefault="00180BAA" w:rsidP="00DB4162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80BAA" w:rsidRPr="00CD0049" w:rsidRDefault="00180BAA" w:rsidP="00702AC3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  <w:r w:rsidRPr="00CD0049">
              <w:rPr>
                <w:sz w:val="18"/>
                <w:szCs w:val="18"/>
                <w:lang w:eastAsia="uk-UA"/>
              </w:rPr>
              <w:t>Забезпечення осіб, які знаходяться під юрисдикцією України, правовою інформацією про систему надання БПД, інші правові механізм захисту прав та законних інтересів</w:t>
            </w:r>
          </w:p>
        </w:tc>
        <w:tc>
          <w:tcPr>
            <w:tcW w:w="2977" w:type="dxa"/>
            <w:shd w:val="clear" w:color="auto" w:fill="auto"/>
          </w:tcPr>
          <w:p w:rsidR="00180BAA" w:rsidRDefault="00180BAA" w:rsidP="00702AC3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3.1.1.2. Організація та проведення зустрічей, семінарів, нарад з працівниками місцевих центрів, що надають правову допомогу з метою аналізу практики, обговорення проблемних питань, вивчення потреби у навчанні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180BAA" w:rsidRDefault="00180BAA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  <w:p w:rsidR="00311B19" w:rsidRPr="00CD0049" w:rsidRDefault="00311B19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704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зустрічей, семінарів, лекцій</w:t>
            </w:r>
          </w:p>
        </w:tc>
        <w:tc>
          <w:tcPr>
            <w:tcW w:w="1135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4</w:t>
            </w:r>
          </w:p>
        </w:tc>
      </w:tr>
      <w:tr w:rsidR="00180BAA" w:rsidRPr="0008577B" w:rsidTr="00CA786D">
        <w:trPr>
          <w:trHeight w:val="264"/>
        </w:trPr>
        <w:tc>
          <w:tcPr>
            <w:tcW w:w="506" w:type="dxa"/>
            <w:vMerge/>
            <w:shd w:val="clear" w:color="auto" w:fill="auto"/>
            <w:vAlign w:val="center"/>
          </w:tcPr>
          <w:p w:rsidR="00180BAA" w:rsidRPr="0008577B" w:rsidRDefault="00180BAA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80BAA" w:rsidRPr="00CD0049" w:rsidRDefault="00180BAA" w:rsidP="00DB4162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80BAA" w:rsidRPr="00CD0049" w:rsidRDefault="00180BAA" w:rsidP="00702AC3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  <w:r w:rsidRPr="00CD0049">
              <w:rPr>
                <w:sz w:val="18"/>
                <w:szCs w:val="18"/>
                <w:lang w:eastAsia="uk-UA"/>
              </w:rPr>
              <w:t>Уніфікація та стандартизація процедур на кожному етапі надання БПД</w:t>
            </w:r>
          </w:p>
        </w:tc>
        <w:tc>
          <w:tcPr>
            <w:tcW w:w="2977" w:type="dxa"/>
            <w:shd w:val="clear" w:color="auto" w:fill="auto"/>
          </w:tcPr>
          <w:p w:rsidR="00180BAA" w:rsidRPr="00CD0049" w:rsidRDefault="00180BAA" w:rsidP="00702AC3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3.1.3.1. Надання методичної допомоги, навчальних тренінгів, занять та консультувань представників органів місцевого самоврядування</w:t>
            </w:r>
          </w:p>
        </w:tc>
        <w:tc>
          <w:tcPr>
            <w:tcW w:w="1701" w:type="dxa"/>
          </w:tcPr>
          <w:p w:rsidR="00180BAA" w:rsidRPr="00CD0049" w:rsidRDefault="00180BAA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методичної допомоги, занять, тренінгів</w:t>
            </w:r>
          </w:p>
        </w:tc>
        <w:tc>
          <w:tcPr>
            <w:tcW w:w="1135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3</w:t>
            </w:r>
          </w:p>
        </w:tc>
      </w:tr>
      <w:tr w:rsidR="00180BAA" w:rsidRPr="0008577B" w:rsidTr="00CA786D">
        <w:trPr>
          <w:trHeight w:val="264"/>
        </w:trPr>
        <w:tc>
          <w:tcPr>
            <w:tcW w:w="506" w:type="dxa"/>
            <w:vMerge/>
            <w:shd w:val="clear" w:color="auto" w:fill="auto"/>
            <w:vAlign w:val="center"/>
          </w:tcPr>
          <w:p w:rsidR="00180BAA" w:rsidRPr="0008577B" w:rsidRDefault="00180BAA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80BAA" w:rsidRPr="00CD0049" w:rsidRDefault="00180BAA" w:rsidP="00DB4162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BAA" w:rsidRPr="00CD0049" w:rsidRDefault="00180BAA" w:rsidP="00702AC3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  <w:r w:rsidRPr="00CD0049">
              <w:rPr>
                <w:sz w:val="18"/>
                <w:szCs w:val="18"/>
                <w:lang w:eastAsia="uk-UA"/>
              </w:rPr>
              <w:t>Спрощення механізму вирішення правових проблем, забезпечення доступу до медіації</w:t>
            </w:r>
          </w:p>
        </w:tc>
        <w:tc>
          <w:tcPr>
            <w:tcW w:w="2977" w:type="dxa"/>
            <w:shd w:val="clear" w:color="auto" w:fill="auto"/>
          </w:tcPr>
          <w:p w:rsidR="00180BAA" w:rsidRDefault="00180BAA" w:rsidP="00702AC3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3.1.4.1. Проведення тренінгів для працівників центрів щодо вміння виявляти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медіативні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справи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180BAA" w:rsidRPr="00CD0049" w:rsidRDefault="00180BAA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тренінгів</w:t>
            </w:r>
          </w:p>
        </w:tc>
        <w:tc>
          <w:tcPr>
            <w:tcW w:w="1135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4</w:t>
            </w:r>
          </w:p>
        </w:tc>
      </w:tr>
      <w:tr w:rsidR="00180BAA" w:rsidRPr="0008577B" w:rsidTr="00CA786D">
        <w:trPr>
          <w:trHeight w:val="264"/>
        </w:trPr>
        <w:tc>
          <w:tcPr>
            <w:tcW w:w="506" w:type="dxa"/>
            <w:vMerge/>
            <w:shd w:val="clear" w:color="auto" w:fill="auto"/>
            <w:vAlign w:val="center"/>
          </w:tcPr>
          <w:p w:rsidR="00180BAA" w:rsidRPr="0008577B" w:rsidRDefault="00180BAA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80BAA" w:rsidRPr="00CD0049" w:rsidRDefault="00180BAA" w:rsidP="00DB4162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0BAA" w:rsidRPr="00CD0049" w:rsidRDefault="00180BAA" w:rsidP="00702AC3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2977" w:type="dxa"/>
            <w:shd w:val="clear" w:color="auto" w:fill="auto"/>
          </w:tcPr>
          <w:p w:rsidR="00180BAA" w:rsidRDefault="00180BAA" w:rsidP="00702AC3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3.1.4.2. Проведення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правопросвітницьких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заходів з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громадскістю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щодо комунікації та поширення інформації  про можливість використання альтернативних способів врегулювання спорів за допомогою медіації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180BAA" w:rsidRDefault="00180BAA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311B19" w:rsidRPr="00CD0049" w:rsidRDefault="00311B19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Гончарова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704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135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10</w:t>
            </w:r>
          </w:p>
        </w:tc>
      </w:tr>
      <w:tr w:rsidR="00180BAA" w:rsidRPr="0008577B" w:rsidTr="00CA786D">
        <w:trPr>
          <w:trHeight w:val="264"/>
        </w:trPr>
        <w:tc>
          <w:tcPr>
            <w:tcW w:w="506" w:type="dxa"/>
            <w:vMerge/>
            <w:shd w:val="clear" w:color="auto" w:fill="auto"/>
            <w:vAlign w:val="center"/>
          </w:tcPr>
          <w:p w:rsidR="00180BAA" w:rsidRPr="0008577B" w:rsidRDefault="00180BAA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80BAA" w:rsidRPr="00CD0049" w:rsidRDefault="00180BAA" w:rsidP="00DB4162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0BAA" w:rsidRPr="00CD0049" w:rsidRDefault="00180BAA" w:rsidP="00702AC3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2977" w:type="dxa"/>
            <w:shd w:val="clear" w:color="auto" w:fill="auto"/>
          </w:tcPr>
          <w:p w:rsidR="00180BAA" w:rsidRDefault="00180BAA" w:rsidP="00702AC3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3.1.4.3. Робочі зустрічі з медіаторами, адвокатами - медіаторами, учасниками програми щодо обговорення моделі інтеграції медіації в діяльність системи БПД та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зворотнього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зв'язку медіатора та системи БПД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180BAA" w:rsidRPr="00CD0049" w:rsidRDefault="00180BAA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зустрічей</w:t>
            </w:r>
          </w:p>
        </w:tc>
        <w:tc>
          <w:tcPr>
            <w:tcW w:w="1135" w:type="dxa"/>
            <w:shd w:val="clear" w:color="auto" w:fill="auto"/>
          </w:tcPr>
          <w:p w:rsidR="00180BAA" w:rsidRPr="00CD0049" w:rsidRDefault="00180BAA" w:rsidP="00311B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  <w:p w:rsidR="008F0C10" w:rsidRPr="00CD0049" w:rsidRDefault="008F0C10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12</w:t>
            </w:r>
          </w:p>
        </w:tc>
      </w:tr>
      <w:tr w:rsidR="00F90F18" w:rsidRPr="0008577B" w:rsidTr="00CA786D">
        <w:trPr>
          <w:trHeight w:val="264"/>
        </w:trPr>
        <w:tc>
          <w:tcPr>
            <w:tcW w:w="506" w:type="dxa"/>
            <w:shd w:val="clear" w:color="auto" w:fill="auto"/>
            <w:vAlign w:val="center"/>
          </w:tcPr>
          <w:p w:rsidR="00F90F18" w:rsidRPr="0008577B" w:rsidRDefault="00180BAA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auto"/>
          </w:tcPr>
          <w:p w:rsidR="00F90F18" w:rsidRPr="00CD0049" w:rsidRDefault="008D42ED" w:rsidP="00DB4162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Завдання 3.2 </w:t>
            </w:r>
            <w:r w:rsidR="00180BAA" w:rsidRPr="00CD0049">
              <w:rPr>
                <w:b/>
                <w:bCs/>
                <w:sz w:val="18"/>
                <w:szCs w:val="18"/>
                <w:lang w:eastAsia="uk-UA"/>
              </w:rPr>
              <w:t xml:space="preserve">Посилення спроможності системи БПД до надання послуг на засадах </w:t>
            </w:r>
            <w:proofErr w:type="spellStart"/>
            <w:r w:rsidR="00180BAA" w:rsidRPr="00CD0049">
              <w:rPr>
                <w:b/>
                <w:bCs/>
                <w:sz w:val="18"/>
                <w:szCs w:val="18"/>
                <w:lang w:eastAsia="uk-UA"/>
              </w:rPr>
              <w:t>клієнтоорієнтованості</w:t>
            </w:r>
            <w:proofErr w:type="spellEnd"/>
            <w:r w:rsidR="00180BAA" w:rsidRPr="00CD0049">
              <w:rPr>
                <w:b/>
                <w:bCs/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="00180BAA" w:rsidRPr="00CD0049">
              <w:rPr>
                <w:b/>
                <w:bCs/>
                <w:sz w:val="18"/>
                <w:szCs w:val="18"/>
                <w:lang w:eastAsia="uk-UA"/>
              </w:rPr>
              <w:t>інклюзивності</w:t>
            </w:r>
            <w:proofErr w:type="spellEnd"/>
            <w:r w:rsidR="00180BAA" w:rsidRPr="00CD0049">
              <w:rPr>
                <w:b/>
                <w:bCs/>
                <w:sz w:val="18"/>
                <w:szCs w:val="18"/>
                <w:lang w:eastAsia="uk-UA"/>
              </w:rPr>
              <w:t xml:space="preserve"> та </w:t>
            </w:r>
            <w:r w:rsidR="00180BAA" w:rsidRPr="00CD0049">
              <w:rPr>
                <w:b/>
                <w:bCs/>
                <w:sz w:val="18"/>
                <w:szCs w:val="18"/>
                <w:lang w:eastAsia="uk-UA"/>
              </w:rPr>
              <w:lastRenderedPageBreak/>
              <w:t>індивідуального підходу до вирішення проблем людини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90F18" w:rsidRPr="00CD0049" w:rsidRDefault="00180BAA" w:rsidP="00702AC3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  <w:r w:rsidRPr="00CD0049">
              <w:rPr>
                <w:sz w:val="18"/>
                <w:szCs w:val="18"/>
                <w:lang w:eastAsia="uk-UA"/>
              </w:rPr>
              <w:lastRenderedPageBreak/>
              <w:t>Удосконалення навичок роботи з клієнтами</w:t>
            </w:r>
          </w:p>
        </w:tc>
        <w:tc>
          <w:tcPr>
            <w:tcW w:w="2977" w:type="dxa"/>
            <w:shd w:val="clear" w:color="auto" w:fill="auto"/>
          </w:tcPr>
          <w:p w:rsidR="00F90F18" w:rsidRPr="00CD0049" w:rsidRDefault="00180BAA" w:rsidP="00702AC3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3.2.1.1. Навчання працівників центрів, штатних юристів, які надають БПД з питань особливостей роботи з різними соціальними групами (осіб вразливих до ВІЛ, бездомних </w:t>
            </w:r>
            <w:r w:rsidRPr="00CD0049">
              <w:rPr>
                <w:b/>
                <w:sz w:val="18"/>
                <w:szCs w:val="18"/>
                <w:lang w:eastAsia="uk-UA"/>
              </w:rPr>
              <w:lastRenderedPageBreak/>
              <w:t>людей,  людьми літнього віку тощо) та з інших питань</w:t>
            </w:r>
          </w:p>
        </w:tc>
        <w:tc>
          <w:tcPr>
            <w:tcW w:w="1701" w:type="dxa"/>
          </w:tcPr>
          <w:p w:rsidR="00F90F18" w:rsidRDefault="00180BAA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lastRenderedPageBreak/>
              <w:t>Радушинська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Н.В.</w:t>
            </w:r>
          </w:p>
          <w:p w:rsidR="00311B19" w:rsidRPr="00CD0049" w:rsidRDefault="00311B19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704" w:type="dxa"/>
            <w:shd w:val="clear" w:color="auto" w:fill="auto"/>
          </w:tcPr>
          <w:p w:rsidR="00180BAA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навчань/</w:t>
            </w:r>
          </w:p>
          <w:p w:rsidR="00F90F18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працівників</w:t>
            </w:r>
          </w:p>
        </w:tc>
        <w:tc>
          <w:tcPr>
            <w:tcW w:w="1135" w:type="dxa"/>
            <w:shd w:val="clear" w:color="auto" w:fill="auto"/>
          </w:tcPr>
          <w:p w:rsidR="00F90F18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90F18" w:rsidRPr="00CD0049" w:rsidRDefault="00180BAA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90F18" w:rsidRPr="00CD0049" w:rsidRDefault="008F0C10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90F18" w:rsidRPr="00CD0049" w:rsidRDefault="008F0C10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F90F18" w:rsidRPr="00CD0049" w:rsidRDefault="008F0C10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4</w:t>
            </w:r>
          </w:p>
        </w:tc>
      </w:tr>
      <w:tr w:rsidR="00F90F18" w:rsidRPr="0008577B" w:rsidTr="00CA786D">
        <w:trPr>
          <w:trHeight w:val="264"/>
        </w:trPr>
        <w:tc>
          <w:tcPr>
            <w:tcW w:w="506" w:type="dxa"/>
            <w:shd w:val="clear" w:color="auto" w:fill="auto"/>
            <w:vAlign w:val="center"/>
          </w:tcPr>
          <w:p w:rsidR="00F90F18" w:rsidRPr="0008577B" w:rsidRDefault="008D42ED" w:rsidP="002900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lastRenderedPageBreak/>
              <w:t>3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auto"/>
          </w:tcPr>
          <w:p w:rsidR="00F90F18" w:rsidRPr="00CD0049" w:rsidRDefault="008D42ED" w:rsidP="00DB4162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Завдання 3.3 Посилення спроможності системи БПД до виявлення системних правових проблем, їх </w:t>
            </w:r>
            <w:proofErr w:type="spellStart"/>
            <w:r w:rsidRPr="00CD0049">
              <w:rPr>
                <w:b/>
                <w:bCs/>
                <w:sz w:val="18"/>
                <w:szCs w:val="18"/>
                <w:lang w:eastAsia="uk-UA"/>
              </w:rPr>
              <w:t>адвокації</w:t>
            </w:r>
            <w:proofErr w:type="spellEnd"/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 на національному чи місцевому рівні, у тому числі із залученням інститутів громадянського суспільства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90F18" w:rsidRPr="00CD0049" w:rsidRDefault="008D42ED" w:rsidP="00702AC3">
            <w:pPr>
              <w:spacing w:after="0" w:line="240" w:lineRule="auto"/>
              <w:jc w:val="both"/>
              <w:rPr>
                <w:sz w:val="18"/>
                <w:szCs w:val="18"/>
                <w:lang w:eastAsia="uk-UA"/>
              </w:rPr>
            </w:pPr>
            <w:r w:rsidRPr="00CD0049">
              <w:rPr>
                <w:sz w:val="18"/>
                <w:szCs w:val="18"/>
                <w:lang w:eastAsia="uk-UA"/>
              </w:rPr>
              <w:t>Усунення недоліків та удосконалення</w:t>
            </w:r>
          </w:p>
        </w:tc>
        <w:tc>
          <w:tcPr>
            <w:tcW w:w="2977" w:type="dxa"/>
            <w:shd w:val="clear" w:color="auto" w:fill="auto"/>
          </w:tcPr>
          <w:p w:rsidR="00F90F18" w:rsidRPr="00CD0049" w:rsidRDefault="008D42ED" w:rsidP="00702AC3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3.3.1.1. Проведення інформаційних зустрічей з працівниками центрів, які надають БПД та адвокатами системи з метою проведення аналізу практики, обговорення шляхів вирішення проблемних питань, які виникають</w:t>
            </w:r>
          </w:p>
        </w:tc>
        <w:tc>
          <w:tcPr>
            <w:tcW w:w="1701" w:type="dxa"/>
          </w:tcPr>
          <w:p w:rsidR="00F90F18" w:rsidRPr="00CD0049" w:rsidRDefault="008D42ED" w:rsidP="00E5152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704" w:type="dxa"/>
            <w:shd w:val="clear" w:color="auto" w:fill="auto"/>
          </w:tcPr>
          <w:p w:rsidR="00F90F18" w:rsidRPr="00CD0049" w:rsidRDefault="008D42ED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зустрічей</w:t>
            </w:r>
          </w:p>
        </w:tc>
        <w:tc>
          <w:tcPr>
            <w:tcW w:w="1135" w:type="dxa"/>
            <w:shd w:val="clear" w:color="auto" w:fill="auto"/>
          </w:tcPr>
          <w:p w:rsidR="00F90F18" w:rsidRPr="00CD0049" w:rsidRDefault="00F90F18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shd w:val="clear" w:color="auto" w:fill="auto"/>
          </w:tcPr>
          <w:p w:rsidR="00F90F18" w:rsidRPr="00CD0049" w:rsidRDefault="008D42ED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90F18" w:rsidRPr="00CD0049" w:rsidRDefault="00F90F18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shd w:val="clear" w:color="auto" w:fill="auto"/>
          </w:tcPr>
          <w:p w:rsidR="00F90F18" w:rsidRPr="00CD0049" w:rsidRDefault="008D42ED" w:rsidP="00AC6F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F90F18" w:rsidRPr="00CD0049" w:rsidRDefault="008D42ED" w:rsidP="00AC6F7A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  <w:t>2</w:t>
            </w:r>
          </w:p>
        </w:tc>
      </w:tr>
      <w:tr w:rsidR="009E46C5" w:rsidRPr="0008577B" w:rsidTr="00CA786D">
        <w:trPr>
          <w:trHeight w:val="695"/>
        </w:trPr>
        <w:tc>
          <w:tcPr>
            <w:tcW w:w="16140" w:type="dxa"/>
            <w:gridSpan w:val="11"/>
            <w:shd w:val="clear" w:color="auto" w:fill="auto"/>
            <w:vAlign w:val="center"/>
          </w:tcPr>
          <w:p w:rsidR="009E46C5" w:rsidRPr="00CD0049" w:rsidRDefault="00680E3B" w:rsidP="00680E3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D0049">
              <w:rPr>
                <w:b/>
                <w:sz w:val="28"/>
                <w:szCs w:val="28"/>
              </w:rPr>
              <w:t>Ціль 4. Розвиток на базі системи БПД механізмів, спрямованих на недопущення порушень прав людини, яка знаходиться у контакті чи конфлікті із законом (в адміністративному та кримінальному процесі)</w:t>
            </w:r>
          </w:p>
        </w:tc>
      </w:tr>
      <w:tr w:rsidR="005344BC" w:rsidRPr="0008577B" w:rsidTr="00CA786D">
        <w:trPr>
          <w:trHeight w:val="552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5344BC" w:rsidRPr="0008577B" w:rsidRDefault="005344BC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5344BC" w:rsidRPr="00CD0049" w:rsidRDefault="005344BC" w:rsidP="0029200C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4.1: Забезпечення раннього доступу до БВПД особам на етапі затримання, досудового розслідування, під час судового процесу та здійснення ефективного  захисту їх прав</w:t>
            </w:r>
          </w:p>
        </w:tc>
        <w:tc>
          <w:tcPr>
            <w:tcW w:w="2268" w:type="dxa"/>
            <w:shd w:val="clear" w:color="auto" w:fill="auto"/>
          </w:tcPr>
          <w:p w:rsidR="005344BC" w:rsidRPr="00CD0049" w:rsidRDefault="005344BC" w:rsidP="0029200C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CD0049">
              <w:rPr>
                <w:bCs/>
                <w:sz w:val="18"/>
                <w:szCs w:val="18"/>
              </w:rPr>
              <w:t>Узагальнення законодавства з питань надання БВПД</w:t>
            </w:r>
          </w:p>
        </w:tc>
        <w:tc>
          <w:tcPr>
            <w:tcW w:w="2977" w:type="dxa"/>
            <w:shd w:val="clear" w:color="auto" w:fill="auto"/>
          </w:tcPr>
          <w:p w:rsidR="005344BC" w:rsidRDefault="005344BC" w:rsidP="001E2CF2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4.1.1.1. Узагальнення інформації щодо  допущених порушень прав затриманих осіб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суб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>"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єктами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подання інформації при інформуванні центрів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5344BC" w:rsidRPr="00CD0049" w:rsidRDefault="005344BC" w:rsidP="00605820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704" w:type="dxa"/>
            <w:shd w:val="clear" w:color="auto" w:fill="auto"/>
          </w:tcPr>
          <w:p w:rsidR="005344BC" w:rsidRPr="00CD0049" w:rsidRDefault="005344BC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узагальнень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</w:pPr>
            <w:r w:rsidRPr="00CD0049">
              <w:rPr>
                <w:rFonts w:eastAsia="Times New Roman" w:cs="Times New Roman"/>
                <w:i/>
                <w:sz w:val="18"/>
                <w:szCs w:val="18"/>
                <w:lang w:eastAsia="uk-UA"/>
              </w:rPr>
              <w:t>При наявності</w:t>
            </w:r>
          </w:p>
        </w:tc>
      </w:tr>
      <w:tr w:rsidR="005344BC" w:rsidRPr="0008577B" w:rsidTr="00CA786D">
        <w:trPr>
          <w:trHeight w:val="552"/>
        </w:trPr>
        <w:tc>
          <w:tcPr>
            <w:tcW w:w="506" w:type="dxa"/>
            <w:vMerge/>
            <w:shd w:val="clear" w:color="auto" w:fill="auto"/>
            <w:vAlign w:val="center"/>
          </w:tcPr>
          <w:p w:rsidR="005344BC" w:rsidRDefault="005344BC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5344BC" w:rsidRPr="00CD0049" w:rsidRDefault="005344BC" w:rsidP="0029200C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5344BC" w:rsidRPr="00CD0049" w:rsidRDefault="005344BC" w:rsidP="0029200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CD0049">
              <w:rPr>
                <w:bCs/>
                <w:sz w:val="18"/>
                <w:szCs w:val="18"/>
              </w:rPr>
              <w:t xml:space="preserve">Підвищення рівня знань </w:t>
            </w:r>
            <w:proofErr w:type="spellStart"/>
            <w:r w:rsidRPr="00CD0049">
              <w:rPr>
                <w:bCs/>
                <w:sz w:val="18"/>
                <w:szCs w:val="18"/>
              </w:rPr>
              <w:t>суб</w:t>
            </w:r>
            <w:proofErr w:type="spellEnd"/>
            <w:r w:rsidRPr="00CD0049">
              <w:rPr>
                <w:bCs/>
                <w:sz w:val="18"/>
                <w:szCs w:val="18"/>
              </w:rPr>
              <w:t>"</w:t>
            </w:r>
            <w:proofErr w:type="spellStart"/>
            <w:r w:rsidRPr="00CD0049">
              <w:rPr>
                <w:bCs/>
                <w:sz w:val="18"/>
                <w:szCs w:val="18"/>
              </w:rPr>
              <w:t>єктів</w:t>
            </w:r>
            <w:proofErr w:type="spellEnd"/>
            <w:r w:rsidRPr="00CD0049">
              <w:rPr>
                <w:bCs/>
                <w:sz w:val="18"/>
                <w:szCs w:val="18"/>
              </w:rPr>
              <w:t xml:space="preserve"> подання інформації щодо застосування положень законодавства, яке регулює надання БПД; Забезпечення дотримання прав  затриманих, підозрюваних (обвинувачених)</w:t>
            </w:r>
          </w:p>
        </w:tc>
        <w:tc>
          <w:tcPr>
            <w:tcW w:w="2977" w:type="dxa"/>
            <w:shd w:val="clear" w:color="auto" w:fill="auto"/>
          </w:tcPr>
          <w:p w:rsidR="005344BC" w:rsidRPr="00CD0049" w:rsidRDefault="005344BC" w:rsidP="00095BE2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4.1.2.1. Проведення інформаційно-роз’яснювальних та комунікаційних заходів серед представників  органів уповноважених здійснювати затримання, арешт чи взяття під варту осіб:</w:t>
            </w:r>
          </w:p>
          <w:p w:rsidR="005344BC" w:rsidRPr="00CD0049" w:rsidRDefault="005344BC" w:rsidP="00095BE2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- щодо прав осіб;</w:t>
            </w:r>
          </w:p>
          <w:p w:rsidR="005344BC" w:rsidRPr="00CD0049" w:rsidRDefault="005344BC" w:rsidP="00095BE2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- щодо порядку залучення захисника;</w:t>
            </w:r>
          </w:p>
          <w:p w:rsidR="005344BC" w:rsidRDefault="005344BC" w:rsidP="00095BE2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- щодо порядку надання БПД</w:t>
            </w:r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5344BC" w:rsidRPr="00CD0049" w:rsidRDefault="005344BC" w:rsidP="00605820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заходів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4</w:t>
            </w:r>
          </w:p>
        </w:tc>
      </w:tr>
      <w:tr w:rsidR="005344BC" w:rsidRPr="0008577B" w:rsidTr="00CA786D">
        <w:trPr>
          <w:trHeight w:val="552"/>
        </w:trPr>
        <w:tc>
          <w:tcPr>
            <w:tcW w:w="506" w:type="dxa"/>
            <w:vMerge/>
            <w:shd w:val="clear" w:color="auto" w:fill="auto"/>
            <w:vAlign w:val="center"/>
          </w:tcPr>
          <w:p w:rsidR="005344BC" w:rsidRDefault="005344BC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5344BC" w:rsidRPr="00CD0049" w:rsidRDefault="005344BC" w:rsidP="0029200C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5344BC" w:rsidRPr="00CD0049" w:rsidRDefault="005344BC" w:rsidP="0029200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344BC" w:rsidRDefault="005344BC" w:rsidP="00095BE2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4.1.2.2. Проведення заходів з керівництвом та представниками правоохоронних органів області щодо вирішення проблемних питань, які виникають під час інформування системи БПД області у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поряку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КПК та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КУпАП</w:t>
            </w:r>
            <w:proofErr w:type="spellEnd"/>
          </w:p>
          <w:p w:rsidR="00CA786D" w:rsidRPr="00CD0049" w:rsidRDefault="00CA786D" w:rsidP="00CA786D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5344BC" w:rsidRPr="00CD0049" w:rsidRDefault="005344BC" w:rsidP="00605820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заходів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4</w:t>
            </w:r>
          </w:p>
        </w:tc>
      </w:tr>
      <w:tr w:rsidR="005344BC" w:rsidRPr="0008577B" w:rsidTr="00CA786D">
        <w:trPr>
          <w:trHeight w:val="552"/>
        </w:trPr>
        <w:tc>
          <w:tcPr>
            <w:tcW w:w="506" w:type="dxa"/>
            <w:vMerge/>
            <w:shd w:val="clear" w:color="auto" w:fill="auto"/>
            <w:vAlign w:val="center"/>
          </w:tcPr>
          <w:p w:rsidR="005344BC" w:rsidRDefault="005344BC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5344BC" w:rsidRPr="00CD0049" w:rsidRDefault="005344BC" w:rsidP="0029200C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5344BC" w:rsidRPr="00CD0049" w:rsidRDefault="005344BC" w:rsidP="0029200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CD0049">
              <w:rPr>
                <w:bCs/>
                <w:sz w:val="18"/>
                <w:szCs w:val="18"/>
              </w:rPr>
              <w:t xml:space="preserve">Оптимізація процесу обміну інформацією між </w:t>
            </w:r>
            <w:proofErr w:type="spellStart"/>
            <w:r w:rsidRPr="00CD0049">
              <w:rPr>
                <w:bCs/>
                <w:sz w:val="18"/>
                <w:szCs w:val="18"/>
              </w:rPr>
              <w:t>суб</w:t>
            </w:r>
            <w:proofErr w:type="spellEnd"/>
            <w:r w:rsidRPr="00CD0049">
              <w:rPr>
                <w:bCs/>
                <w:sz w:val="18"/>
                <w:szCs w:val="18"/>
              </w:rPr>
              <w:t>"</w:t>
            </w:r>
            <w:proofErr w:type="spellStart"/>
            <w:r w:rsidRPr="00CD0049">
              <w:rPr>
                <w:bCs/>
                <w:sz w:val="18"/>
                <w:szCs w:val="18"/>
              </w:rPr>
              <w:t>єктами</w:t>
            </w:r>
            <w:proofErr w:type="spellEnd"/>
            <w:r w:rsidRPr="00CD0049">
              <w:rPr>
                <w:bCs/>
                <w:sz w:val="18"/>
                <w:szCs w:val="18"/>
              </w:rPr>
              <w:t xml:space="preserve"> подання інформації та БПД</w:t>
            </w:r>
          </w:p>
        </w:tc>
        <w:tc>
          <w:tcPr>
            <w:tcW w:w="2977" w:type="dxa"/>
            <w:shd w:val="clear" w:color="auto" w:fill="auto"/>
          </w:tcPr>
          <w:p w:rsidR="00CA786D" w:rsidRPr="00CD0049" w:rsidRDefault="005344BC" w:rsidP="00CA786D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4.1.3.1. Запровадження системи автоматизованого розподілу доручень адвокатам у регіонах</w:t>
            </w:r>
          </w:p>
        </w:tc>
        <w:tc>
          <w:tcPr>
            <w:tcW w:w="1701" w:type="dxa"/>
          </w:tcPr>
          <w:p w:rsidR="005344BC" w:rsidRPr="00CD0049" w:rsidRDefault="005344BC" w:rsidP="00605820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Участь у впровадженні системи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BC" w:rsidRPr="00CD0049" w:rsidRDefault="005344BC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У разі запровадження Координаційним центром</w:t>
            </w:r>
          </w:p>
        </w:tc>
      </w:tr>
      <w:tr w:rsidR="005D7510" w:rsidRPr="0008577B" w:rsidTr="00CA786D">
        <w:trPr>
          <w:trHeight w:val="552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5D7510" w:rsidRDefault="005D7510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lastRenderedPageBreak/>
              <w:t>2.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5D7510" w:rsidRPr="00CD0049" w:rsidRDefault="005D7510" w:rsidP="0029200C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4.2: Розвиток механізмів моніторингу дотримання прав людей, які мають процесуальний статус підозрюваного, обвинуваченого, свідка, потерпілого, засудженого, затриманого та реагування на порушення таких прав</w:t>
            </w:r>
          </w:p>
        </w:tc>
        <w:tc>
          <w:tcPr>
            <w:tcW w:w="2268" w:type="dxa"/>
            <w:shd w:val="clear" w:color="auto" w:fill="auto"/>
          </w:tcPr>
          <w:p w:rsidR="005D7510" w:rsidRPr="00CD0049" w:rsidRDefault="005D7510" w:rsidP="0029200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CD0049">
              <w:rPr>
                <w:bCs/>
                <w:sz w:val="18"/>
                <w:szCs w:val="18"/>
              </w:rPr>
              <w:t>Попередження порушень прав людини</w:t>
            </w:r>
          </w:p>
        </w:tc>
        <w:tc>
          <w:tcPr>
            <w:tcW w:w="2977" w:type="dxa"/>
            <w:shd w:val="clear" w:color="auto" w:fill="auto"/>
          </w:tcPr>
          <w:p w:rsidR="00CA786D" w:rsidRPr="00CD0049" w:rsidRDefault="005D7510" w:rsidP="00CA786D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 4.2.1.1. Моніторингові візити до місць несвободи (спільно з омбудсменом)</w:t>
            </w:r>
          </w:p>
        </w:tc>
        <w:tc>
          <w:tcPr>
            <w:tcW w:w="1701" w:type="dxa"/>
          </w:tcPr>
          <w:p w:rsidR="005D7510" w:rsidRPr="00CD0049" w:rsidRDefault="005D7510" w:rsidP="00605820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Гончарова</w:t>
            </w:r>
            <w:proofErr w:type="spellEnd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Д.В.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shd w:val="clear" w:color="auto" w:fill="auto"/>
          </w:tcPr>
          <w:p w:rsidR="005D7510" w:rsidRPr="00CD0049" w:rsidRDefault="005D7510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виїздів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510" w:rsidRPr="00CD0049" w:rsidRDefault="005D7510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 запрошенням уповноваженого</w:t>
            </w:r>
          </w:p>
        </w:tc>
      </w:tr>
      <w:tr w:rsidR="005D7510" w:rsidRPr="0008577B" w:rsidTr="00CA786D">
        <w:trPr>
          <w:trHeight w:val="552"/>
        </w:trPr>
        <w:tc>
          <w:tcPr>
            <w:tcW w:w="506" w:type="dxa"/>
            <w:vMerge/>
            <w:shd w:val="clear" w:color="auto" w:fill="auto"/>
            <w:vAlign w:val="center"/>
          </w:tcPr>
          <w:p w:rsidR="005D7510" w:rsidRDefault="005D7510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5D7510" w:rsidRPr="00CD0049" w:rsidRDefault="005D7510" w:rsidP="0029200C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shd w:val="clear" w:color="auto" w:fill="auto"/>
          </w:tcPr>
          <w:p w:rsidR="005D7510" w:rsidRPr="00CD0049" w:rsidRDefault="005D7510" w:rsidP="0029200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CD0049">
              <w:rPr>
                <w:bCs/>
                <w:sz w:val="18"/>
                <w:szCs w:val="18"/>
              </w:rPr>
              <w:t>Підвищення якості надання БПД адвокатами</w:t>
            </w:r>
          </w:p>
        </w:tc>
        <w:tc>
          <w:tcPr>
            <w:tcW w:w="2977" w:type="dxa"/>
            <w:shd w:val="clear" w:color="auto" w:fill="auto"/>
          </w:tcPr>
          <w:p w:rsidR="00CA786D" w:rsidRPr="00CD0049" w:rsidRDefault="005D7510" w:rsidP="00CA786D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4.2.2.1. Проведення спостережень за роботою адвокатів в суді</w:t>
            </w:r>
          </w:p>
        </w:tc>
        <w:tc>
          <w:tcPr>
            <w:tcW w:w="1701" w:type="dxa"/>
          </w:tcPr>
          <w:p w:rsidR="005D7510" w:rsidRPr="00CD0049" w:rsidRDefault="005D7510" w:rsidP="00605820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shd w:val="clear" w:color="auto" w:fill="auto"/>
          </w:tcPr>
          <w:p w:rsidR="005D7510" w:rsidRPr="00CD0049" w:rsidRDefault="005D7510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спостережень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510" w:rsidRPr="00CD0049" w:rsidRDefault="005D7510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510" w:rsidRPr="00CD0049" w:rsidRDefault="005D7510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510" w:rsidRPr="00CD0049" w:rsidRDefault="005D7510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510" w:rsidRPr="00CD0049" w:rsidRDefault="005D7510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510" w:rsidRPr="00CD0049" w:rsidRDefault="005D7510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96</w:t>
            </w:r>
          </w:p>
        </w:tc>
      </w:tr>
      <w:tr w:rsidR="00CA786D" w:rsidRPr="0008577B" w:rsidTr="00CA786D">
        <w:trPr>
          <w:trHeight w:val="552"/>
        </w:trPr>
        <w:tc>
          <w:tcPr>
            <w:tcW w:w="506" w:type="dxa"/>
            <w:vMerge/>
            <w:shd w:val="clear" w:color="auto" w:fill="auto"/>
            <w:vAlign w:val="center"/>
          </w:tcPr>
          <w:p w:rsidR="00CA786D" w:rsidRDefault="00CA786D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CA786D" w:rsidRPr="00CD0049" w:rsidRDefault="00CA786D" w:rsidP="0029200C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A786D" w:rsidRPr="00CD0049" w:rsidRDefault="00CA786D" w:rsidP="0029200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CD0049">
              <w:rPr>
                <w:bCs/>
                <w:sz w:val="18"/>
                <w:szCs w:val="18"/>
              </w:rPr>
              <w:t>Визначення рівня задоволеності  якістю надання БПД</w:t>
            </w:r>
          </w:p>
        </w:tc>
        <w:tc>
          <w:tcPr>
            <w:tcW w:w="2977" w:type="dxa"/>
            <w:shd w:val="clear" w:color="auto" w:fill="auto"/>
          </w:tcPr>
          <w:p w:rsidR="00CA786D" w:rsidRPr="00CD0049" w:rsidRDefault="00CA786D" w:rsidP="00095BE2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4.2.2.2. Проведення бесід з клієнтами</w:t>
            </w:r>
          </w:p>
        </w:tc>
        <w:tc>
          <w:tcPr>
            <w:tcW w:w="1701" w:type="dxa"/>
          </w:tcPr>
          <w:p w:rsidR="00CA786D" w:rsidRPr="00CD0049" w:rsidRDefault="00CA786D" w:rsidP="00605820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бесід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8</w:t>
            </w:r>
          </w:p>
        </w:tc>
      </w:tr>
      <w:tr w:rsidR="00CA786D" w:rsidRPr="0008577B" w:rsidTr="00CA786D">
        <w:trPr>
          <w:trHeight w:val="552"/>
        </w:trPr>
        <w:tc>
          <w:tcPr>
            <w:tcW w:w="506" w:type="dxa"/>
            <w:vMerge/>
            <w:shd w:val="clear" w:color="auto" w:fill="auto"/>
            <w:vAlign w:val="center"/>
          </w:tcPr>
          <w:p w:rsidR="00CA786D" w:rsidRDefault="00CA786D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CA786D" w:rsidRPr="00CD0049" w:rsidRDefault="00CA786D" w:rsidP="0029200C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786D" w:rsidRPr="00CD0049" w:rsidRDefault="00CA786D" w:rsidP="0029200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CA786D" w:rsidRPr="00CD0049" w:rsidRDefault="00CA786D" w:rsidP="00095BE2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>Захід 4.2.2.3. Проведення анонімних анкетувань адвокатів</w:t>
            </w:r>
          </w:p>
        </w:tc>
        <w:tc>
          <w:tcPr>
            <w:tcW w:w="1701" w:type="dxa"/>
          </w:tcPr>
          <w:p w:rsidR="00CA786D" w:rsidRPr="00CD0049" w:rsidRDefault="00CA786D" w:rsidP="00605820">
            <w:pPr>
              <w:spacing w:after="0" w:line="240" w:lineRule="auto"/>
              <w:ind w:right="-107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Кашапов</w:t>
            </w:r>
            <w:proofErr w:type="spellEnd"/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 xml:space="preserve"> Т.О.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анкетувань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6D" w:rsidRPr="00CD0049" w:rsidRDefault="00CA786D" w:rsidP="0008577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4</w:t>
            </w:r>
          </w:p>
        </w:tc>
      </w:tr>
      <w:tr w:rsidR="00CD0049" w:rsidRPr="0008577B" w:rsidTr="00CA786D">
        <w:trPr>
          <w:trHeight w:val="552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CD0049" w:rsidRPr="0008577B" w:rsidRDefault="00CD0049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CD0049" w:rsidRPr="00CD0049" w:rsidRDefault="00CD0049" w:rsidP="0029200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Завдання 4.3. Розвиток механізмів забезпечення надання безоплатної правової допомоги особам звільненим від відбування покарання та особам, які відбули покарання у виді обмеження волі або позбавлення волі на певний строк, а також іншим особам, які потребують соціальної адаптації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D0049" w:rsidRPr="005D7510" w:rsidRDefault="00CD0049" w:rsidP="0008577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sz w:val="18"/>
                <w:szCs w:val="18"/>
                <w:lang w:eastAsia="uk-UA"/>
              </w:rPr>
              <w:t>Підвищення рівня правової обізнаності осіб, звільнених від відбування покарання</w:t>
            </w:r>
          </w:p>
        </w:tc>
        <w:tc>
          <w:tcPr>
            <w:tcW w:w="2977" w:type="dxa"/>
            <w:shd w:val="clear" w:color="auto" w:fill="auto"/>
          </w:tcPr>
          <w:p w:rsidR="00CD0049" w:rsidRDefault="00CD0049" w:rsidP="0008577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4.3.1.1.Забезпечення роботи консультаційних пунктів доступу до БПД у приміщеннях філії Державної установи «Центр </w:t>
            </w:r>
            <w:proofErr w:type="spellStart"/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пробації</w:t>
            </w:r>
            <w:proofErr w:type="spellEnd"/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» у Житомирській області</w:t>
            </w:r>
          </w:p>
          <w:p w:rsidR="00CA786D" w:rsidRPr="00CA786D" w:rsidRDefault="00CA786D" w:rsidP="00CA786D">
            <w:pPr>
              <w:spacing w:after="0" w:line="12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CD0049" w:rsidRPr="005D7510" w:rsidRDefault="00CD0049" w:rsidP="005D7510">
            <w:pPr>
              <w:spacing w:after="0" w:line="240" w:lineRule="auto"/>
              <w:ind w:right="-111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704" w:type="dxa"/>
            <w:shd w:val="clear" w:color="auto" w:fill="auto"/>
          </w:tcPr>
          <w:p w:rsidR="00CD0049" w:rsidRPr="0008577B" w:rsidRDefault="00CD0049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здійснення консультаційних пунктів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b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b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b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b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b/>
              </w:rPr>
            </w:pPr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12</w:t>
            </w:r>
          </w:p>
        </w:tc>
      </w:tr>
      <w:tr w:rsidR="00CD0049" w:rsidRPr="0008577B" w:rsidTr="00CA786D">
        <w:trPr>
          <w:trHeight w:val="552"/>
        </w:trPr>
        <w:tc>
          <w:tcPr>
            <w:tcW w:w="506" w:type="dxa"/>
            <w:vMerge/>
            <w:shd w:val="clear" w:color="auto" w:fill="auto"/>
            <w:vAlign w:val="center"/>
          </w:tcPr>
          <w:p w:rsidR="00CD0049" w:rsidRDefault="00CD0049" w:rsidP="007E4BB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CD0049" w:rsidRPr="005D7510" w:rsidRDefault="00CD0049" w:rsidP="0029200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D0049" w:rsidRPr="005D7510" w:rsidRDefault="00CD0049" w:rsidP="0008577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977" w:type="dxa"/>
            <w:shd w:val="clear" w:color="auto" w:fill="auto"/>
          </w:tcPr>
          <w:p w:rsidR="00CD0049" w:rsidRPr="005D7510" w:rsidRDefault="00CD0049" w:rsidP="0008577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4.3.1.2. Забезпечення роботи консультаційних пунктів </w:t>
            </w:r>
            <w:proofErr w:type="spellStart"/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пунктів</w:t>
            </w:r>
            <w:proofErr w:type="spellEnd"/>
            <w:r w:rsidRPr="005D751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для засуджених.</w:t>
            </w:r>
          </w:p>
        </w:tc>
        <w:tc>
          <w:tcPr>
            <w:tcW w:w="1701" w:type="dxa"/>
          </w:tcPr>
          <w:p w:rsidR="00CD0049" w:rsidRDefault="00CD0049" w:rsidP="005D7510">
            <w:pPr>
              <w:spacing w:after="0" w:line="240" w:lineRule="auto"/>
              <w:ind w:right="-111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Врублевський О.О.</w:t>
            </w:r>
          </w:p>
        </w:tc>
        <w:tc>
          <w:tcPr>
            <w:tcW w:w="1704" w:type="dxa"/>
            <w:shd w:val="clear" w:color="auto" w:fill="auto"/>
          </w:tcPr>
          <w:p w:rsidR="00CD0049" w:rsidRPr="005D7510" w:rsidRDefault="00CD0049" w:rsidP="00A42C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здійснення консультаційних пунктів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CD0049" w:rsidRPr="005D7510" w:rsidRDefault="00CD0049" w:rsidP="005D7510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4</w:t>
            </w:r>
          </w:p>
        </w:tc>
      </w:tr>
    </w:tbl>
    <w:p w:rsidR="00637965" w:rsidRPr="0008577B" w:rsidRDefault="00637965" w:rsidP="00CA786D">
      <w:pPr>
        <w:spacing w:after="0" w:line="120" w:lineRule="auto"/>
        <w:ind w:firstLine="992"/>
        <w:rPr>
          <w:sz w:val="28"/>
          <w:szCs w:val="28"/>
        </w:rPr>
      </w:pPr>
    </w:p>
    <w:p w:rsidR="00E54BDE" w:rsidRPr="009C7239" w:rsidRDefault="00E54BDE" w:rsidP="00E54BDE">
      <w:pPr>
        <w:spacing w:after="0" w:line="240" w:lineRule="auto"/>
        <w:ind w:firstLine="993"/>
        <w:rPr>
          <w:sz w:val="26"/>
          <w:szCs w:val="26"/>
        </w:rPr>
      </w:pPr>
      <w:r w:rsidRPr="009C7239">
        <w:rPr>
          <w:sz w:val="26"/>
          <w:szCs w:val="26"/>
        </w:rPr>
        <w:t xml:space="preserve">Начальник відділу організаційної роботи, </w:t>
      </w:r>
    </w:p>
    <w:p w:rsidR="00416FDB" w:rsidRDefault="00E54BDE" w:rsidP="00CA786D">
      <w:pPr>
        <w:spacing w:after="0" w:line="240" w:lineRule="auto"/>
        <w:ind w:firstLine="993"/>
        <w:rPr>
          <w:sz w:val="26"/>
          <w:szCs w:val="26"/>
        </w:rPr>
      </w:pPr>
      <w:r w:rsidRPr="009C7239">
        <w:rPr>
          <w:sz w:val="26"/>
          <w:szCs w:val="26"/>
        </w:rPr>
        <w:t xml:space="preserve">юридичного забезпечення </w:t>
      </w:r>
      <w:r w:rsidR="00BF1AA4" w:rsidRPr="009C7239">
        <w:rPr>
          <w:sz w:val="26"/>
          <w:szCs w:val="26"/>
        </w:rPr>
        <w:t>та розвитку інфраструктури</w:t>
      </w:r>
      <w:r w:rsidRPr="009C7239">
        <w:rPr>
          <w:sz w:val="26"/>
          <w:szCs w:val="26"/>
        </w:rPr>
        <w:tab/>
      </w:r>
      <w:r w:rsidRPr="009C7239">
        <w:rPr>
          <w:sz w:val="26"/>
          <w:szCs w:val="26"/>
        </w:rPr>
        <w:tab/>
      </w:r>
      <w:r w:rsidRPr="009C7239">
        <w:rPr>
          <w:sz w:val="26"/>
          <w:szCs w:val="26"/>
        </w:rPr>
        <w:tab/>
      </w:r>
      <w:r w:rsidRPr="009C7239">
        <w:rPr>
          <w:sz w:val="26"/>
          <w:szCs w:val="26"/>
        </w:rPr>
        <w:tab/>
      </w:r>
      <w:r w:rsidRPr="009C7239">
        <w:rPr>
          <w:sz w:val="26"/>
          <w:szCs w:val="26"/>
        </w:rPr>
        <w:tab/>
      </w:r>
      <w:r w:rsidRPr="009C7239">
        <w:rPr>
          <w:sz w:val="26"/>
          <w:szCs w:val="26"/>
        </w:rPr>
        <w:tab/>
        <w:t xml:space="preserve">                 О.В.</w:t>
      </w:r>
      <w:proofErr w:type="spellStart"/>
      <w:r w:rsidRPr="009C7239">
        <w:rPr>
          <w:sz w:val="26"/>
          <w:szCs w:val="26"/>
        </w:rPr>
        <w:t>Вовнюк</w:t>
      </w:r>
      <w:proofErr w:type="spellEnd"/>
    </w:p>
    <w:p w:rsidR="00CA786D" w:rsidRDefault="00CA786D" w:rsidP="00CA786D">
      <w:pPr>
        <w:spacing w:after="0" w:line="120" w:lineRule="auto"/>
        <w:ind w:firstLine="992"/>
        <w:rPr>
          <w:sz w:val="26"/>
          <w:szCs w:val="26"/>
        </w:rPr>
      </w:pPr>
    </w:p>
    <w:p w:rsidR="00CA786D" w:rsidRPr="009C7239" w:rsidRDefault="00CA786D" w:rsidP="00CA786D">
      <w:pPr>
        <w:spacing w:after="0" w:line="120" w:lineRule="auto"/>
        <w:ind w:firstLine="992"/>
        <w:rPr>
          <w:sz w:val="26"/>
          <w:szCs w:val="26"/>
        </w:rPr>
      </w:pPr>
    </w:p>
    <w:p w:rsidR="009C7239" w:rsidRPr="009C7239" w:rsidRDefault="00416FDB" w:rsidP="00CA786D">
      <w:pPr>
        <w:spacing w:line="240" w:lineRule="auto"/>
        <w:ind w:left="-425" w:firstLine="2835"/>
        <w:rPr>
          <w:sz w:val="26"/>
          <w:szCs w:val="26"/>
          <w:lang w:val="ru-RU"/>
        </w:rPr>
      </w:pPr>
      <w:r w:rsidRPr="009C7239">
        <w:rPr>
          <w:sz w:val="26"/>
          <w:szCs w:val="26"/>
        </w:rPr>
        <w:t>З планом ознайомлена: «____»_____________20</w:t>
      </w:r>
      <w:r w:rsidR="00025690" w:rsidRPr="009C7239">
        <w:rPr>
          <w:sz w:val="26"/>
          <w:szCs w:val="26"/>
        </w:rPr>
        <w:t>2</w:t>
      </w:r>
      <w:r w:rsidR="00A678B5">
        <w:rPr>
          <w:sz w:val="26"/>
          <w:szCs w:val="26"/>
        </w:rPr>
        <w:t>2</w:t>
      </w:r>
      <w:r w:rsidRPr="009C7239">
        <w:rPr>
          <w:sz w:val="26"/>
          <w:szCs w:val="26"/>
        </w:rPr>
        <w:t>р._______________</w:t>
      </w:r>
      <w:proofErr w:type="spellStart"/>
      <w:r w:rsidRPr="009C7239">
        <w:rPr>
          <w:sz w:val="26"/>
          <w:szCs w:val="26"/>
          <w:lang w:val="ru-RU"/>
        </w:rPr>
        <w:t>Н.В.Радушинська</w:t>
      </w:r>
      <w:proofErr w:type="spellEnd"/>
    </w:p>
    <w:p w:rsidR="009C7239" w:rsidRPr="009C7239" w:rsidRDefault="00E54BDE" w:rsidP="00CA786D">
      <w:pPr>
        <w:spacing w:line="240" w:lineRule="auto"/>
        <w:ind w:left="-425" w:firstLine="2835"/>
        <w:rPr>
          <w:sz w:val="26"/>
          <w:szCs w:val="26"/>
        </w:rPr>
      </w:pPr>
      <w:r w:rsidRPr="009C7239">
        <w:rPr>
          <w:sz w:val="26"/>
          <w:szCs w:val="26"/>
        </w:rPr>
        <w:t xml:space="preserve">З </w:t>
      </w:r>
      <w:r w:rsidR="00BF1AA4" w:rsidRPr="009C7239">
        <w:rPr>
          <w:sz w:val="26"/>
          <w:szCs w:val="26"/>
        </w:rPr>
        <w:t>планом</w:t>
      </w:r>
      <w:r w:rsidR="00DB53AC" w:rsidRPr="009C7239">
        <w:rPr>
          <w:sz w:val="26"/>
          <w:szCs w:val="26"/>
        </w:rPr>
        <w:t xml:space="preserve"> ознайомлена: </w:t>
      </w:r>
      <w:r w:rsidRPr="009C7239">
        <w:rPr>
          <w:sz w:val="26"/>
          <w:szCs w:val="26"/>
        </w:rPr>
        <w:t>«____»_______</w:t>
      </w:r>
      <w:r w:rsidR="00DB53AC" w:rsidRPr="009C7239">
        <w:rPr>
          <w:sz w:val="26"/>
          <w:szCs w:val="26"/>
        </w:rPr>
        <w:t>______</w:t>
      </w:r>
      <w:r w:rsidRPr="009C7239">
        <w:rPr>
          <w:sz w:val="26"/>
          <w:szCs w:val="26"/>
        </w:rPr>
        <w:t>20</w:t>
      </w:r>
      <w:r w:rsidR="00025690" w:rsidRPr="009C7239">
        <w:rPr>
          <w:sz w:val="26"/>
          <w:szCs w:val="26"/>
        </w:rPr>
        <w:t>2</w:t>
      </w:r>
      <w:r w:rsidR="00A678B5">
        <w:rPr>
          <w:sz w:val="26"/>
          <w:szCs w:val="26"/>
        </w:rPr>
        <w:t>2</w:t>
      </w:r>
      <w:r w:rsidRPr="009C7239">
        <w:rPr>
          <w:sz w:val="26"/>
          <w:szCs w:val="26"/>
        </w:rPr>
        <w:t>р._______________О.М.Березовська</w:t>
      </w:r>
    </w:p>
    <w:p w:rsidR="009C7239" w:rsidRPr="009C7239" w:rsidRDefault="00E54BDE" w:rsidP="00CA786D">
      <w:pPr>
        <w:spacing w:line="240" w:lineRule="auto"/>
        <w:ind w:left="-425" w:firstLine="2835"/>
        <w:rPr>
          <w:sz w:val="26"/>
          <w:szCs w:val="26"/>
        </w:rPr>
      </w:pPr>
      <w:r w:rsidRPr="009C7239">
        <w:rPr>
          <w:sz w:val="26"/>
          <w:szCs w:val="26"/>
        </w:rPr>
        <w:t xml:space="preserve">З </w:t>
      </w:r>
      <w:r w:rsidR="00BF1AA4" w:rsidRPr="009C7239">
        <w:rPr>
          <w:sz w:val="26"/>
          <w:szCs w:val="26"/>
        </w:rPr>
        <w:t>планом</w:t>
      </w:r>
      <w:r w:rsidRPr="009C7239">
        <w:rPr>
          <w:sz w:val="26"/>
          <w:szCs w:val="26"/>
        </w:rPr>
        <w:t xml:space="preserve"> ознайомлена: «____»_______</w:t>
      </w:r>
      <w:r w:rsidR="00DB53AC" w:rsidRPr="009C7239">
        <w:rPr>
          <w:sz w:val="26"/>
          <w:szCs w:val="26"/>
        </w:rPr>
        <w:t>______</w:t>
      </w:r>
      <w:r w:rsidRPr="009C7239">
        <w:rPr>
          <w:sz w:val="26"/>
          <w:szCs w:val="26"/>
        </w:rPr>
        <w:t>20</w:t>
      </w:r>
      <w:r w:rsidR="009C7239" w:rsidRPr="009C7239">
        <w:rPr>
          <w:sz w:val="26"/>
          <w:szCs w:val="26"/>
        </w:rPr>
        <w:t>2</w:t>
      </w:r>
      <w:r w:rsidR="00A678B5">
        <w:rPr>
          <w:sz w:val="26"/>
          <w:szCs w:val="26"/>
        </w:rPr>
        <w:t>2</w:t>
      </w:r>
      <w:r w:rsidRPr="009C7239">
        <w:rPr>
          <w:sz w:val="26"/>
          <w:szCs w:val="26"/>
        </w:rPr>
        <w:t xml:space="preserve">р. </w:t>
      </w:r>
      <w:proofErr w:type="spellStart"/>
      <w:r w:rsidRPr="009C7239">
        <w:rPr>
          <w:sz w:val="26"/>
          <w:szCs w:val="26"/>
        </w:rPr>
        <w:t>______________М.Л.Куратова</w:t>
      </w:r>
      <w:proofErr w:type="spellEnd"/>
    </w:p>
    <w:p w:rsidR="009C7239" w:rsidRPr="009C7239" w:rsidRDefault="00E54BDE" w:rsidP="00CA786D">
      <w:pPr>
        <w:spacing w:line="240" w:lineRule="auto"/>
        <w:ind w:left="-425" w:firstLine="2835"/>
        <w:rPr>
          <w:sz w:val="26"/>
          <w:szCs w:val="26"/>
        </w:rPr>
      </w:pPr>
      <w:r w:rsidRPr="009C7239">
        <w:rPr>
          <w:sz w:val="26"/>
          <w:szCs w:val="26"/>
        </w:rPr>
        <w:t xml:space="preserve">З </w:t>
      </w:r>
      <w:r w:rsidR="00BF1AA4" w:rsidRPr="009C7239">
        <w:rPr>
          <w:sz w:val="26"/>
          <w:szCs w:val="26"/>
        </w:rPr>
        <w:t xml:space="preserve">планом </w:t>
      </w:r>
      <w:r w:rsidR="00DB53AC" w:rsidRPr="009C7239">
        <w:rPr>
          <w:sz w:val="26"/>
          <w:szCs w:val="26"/>
        </w:rPr>
        <w:t xml:space="preserve">ознайомлена: </w:t>
      </w:r>
      <w:r w:rsidRPr="009C7239">
        <w:rPr>
          <w:sz w:val="26"/>
          <w:szCs w:val="26"/>
        </w:rPr>
        <w:t>«____»_______</w:t>
      </w:r>
      <w:r w:rsidR="00DB53AC" w:rsidRPr="009C7239">
        <w:rPr>
          <w:sz w:val="26"/>
          <w:szCs w:val="26"/>
        </w:rPr>
        <w:t>______</w:t>
      </w:r>
      <w:r w:rsidRPr="009C7239">
        <w:rPr>
          <w:sz w:val="26"/>
          <w:szCs w:val="26"/>
        </w:rPr>
        <w:t>20</w:t>
      </w:r>
      <w:r w:rsidR="009C7239" w:rsidRPr="009C7239">
        <w:rPr>
          <w:sz w:val="26"/>
          <w:szCs w:val="26"/>
        </w:rPr>
        <w:t>2</w:t>
      </w:r>
      <w:r w:rsidR="00A678B5">
        <w:rPr>
          <w:sz w:val="26"/>
          <w:szCs w:val="26"/>
        </w:rPr>
        <w:t>2</w:t>
      </w:r>
      <w:r w:rsidRPr="009C7239">
        <w:rPr>
          <w:sz w:val="26"/>
          <w:szCs w:val="26"/>
        </w:rPr>
        <w:t xml:space="preserve">р._______________Д.В. </w:t>
      </w:r>
      <w:proofErr w:type="spellStart"/>
      <w:r w:rsidRPr="009C7239">
        <w:rPr>
          <w:sz w:val="26"/>
          <w:szCs w:val="26"/>
        </w:rPr>
        <w:t>Гончарова</w:t>
      </w:r>
      <w:proofErr w:type="spellEnd"/>
    </w:p>
    <w:p w:rsidR="00CA786D" w:rsidRDefault="00BF1AA4" w:rsidP="00CA786D">
      <w:pPr>
        <w:spacing w:line="240" w:lineRule="auto"/>
        <w:ind w:left="-425" w:firstLine="2835"/>
        <w:rPr>
          <w:sz w:val="26"/>
          <w:szCs w:val="26"/>
        </w:rPr>
      </w:pPr>
      <w:r w:rsidRPr="009C7239">
        <w:rPr>
          <w:sz w:val="26"/>
          <w:szCs w:val="26"/>
        </w:rPr>
        <w:t>З планом</w:t>
      </w:r>
      <w:r w:rsidR="00DB53AC" w:rsidRPr="009C7239">
        <w:rPr>
          <w:sz w:val="26"/>
          <w:szCs w:val="26"/>
        </w:rPr>
        <w:t xml:space="preserve"> ознайомлений:</w:t>
      </w:r>
      <w:r w:rsidRPr="009C7239">
        <w:rPr>
          <w:sz w:val="26"/>
          <w:szCs w:val="26"/>
        </w:rPr>
        <w:t>«____»_______</w:t>
      </w:r>
      <w:r w:rsidR="00DB53AC" w:rsidRPr="009C7239">
        <w:rPr>
          <w:sz w:val="26"/>
          <w:szCs w:val="26"/>
        </w:rPr>
        <w:t>____</w:t>
      </w:r>
      <w:r w:rsidR="009C7239" w:rsidRPr="009C7239">
        <w:rPr>
          <w:sz w:val="26"/>
          <w:szCs w:val="26"/>
        </w:rPr>
        <w:t>_</w:t>
      </w:r>
      <w:r w:rsidR="00DB4162">
        <w:rPr>
          <w:sz w:val="26"/>
          <w:szCs w:val="26"/>
        </w:rPr>
        <w:t>_</w:t>
      </w:r>
      <w:r w:rsidRPr="009C7239">
        <w:rPr>
          <w:sz w:val="26"/>
          <w:szCs w:val="26"/>
        </w:rPr>
        <w:t>20</w:t>
      </w:r>
      <w:r w:rsidR="009C7239" w:rsidRPr="009C7239">
        <w:rPr>
          <w:sz w:val="26"/>
          <w:szCs w:val="26"/>
        </w:rPr>
        <w:t>2</w:t>
      </w:r>
      <w:r w:rsidR="00A678B5">
        <w:rPr>
          <w:sz w:val="26"/>
          <w:szCs w:val="26"/>
        </w:rPr>
        <w:t>2</w:t>
      </w:r>
      <w:r w:rsidRPr="009C7239">
        <w:rPr>
          <w:sz w:val="26"/>
          <w:szCs w:val="26"/>
        </w:rPr>
        <w:t>р.______________</w:t>
      </w:r>
      <w:r w:rsidR="009C7239">
        <w:rPr>
          <w:sz w:val="26"/>
          <w:szCs w:val="26"/>
        </w:rPr>
        <w:t>_</w:t>
      </w:r>
      <w:r w:rsidRPr="009C7239">
        <w:rPr>
          <w:sz w:val="26"/>
          <w:szCs w:val="26"/>
        </w:rPr>
        <w:t>О.О.Врублевський</w:t>
      </w:r>
    </w:p>
    <w:p w:rsidR="00BF1AA4" w:rsidRPr="00CA786D" w:rsidRDefault="00D62A52" w:rsidP="00CA786D">
      <w:pPr>
        <w:spacing w:line="240" w:lineRule="auto"/>
        <w:ind w:left="-425" w:firstLine="2835"/>
        <w:rPr>
          <w:sz w:val="26"/>
          <w:szCs w:val="26"/>
        </w:rPr>
      </w:pPr>
      <w:r>
        <w:rPr>
          <w:sz w:val="26"/>
          <w:szCs w:val="26"/>
        </w:rPr>
        <w:t>З планом ознайомлений</w:t>
      </w:r>
      <w:r w:rsidR="00BF1AA4" w:rsidRPr="009C7239">
        <w:rPr>
          <w:sz w:val="26"/>
          <w:szCs w:val="26"/>
        </w:rPr>
        <w:t>: «____»_______</w:t>
      </w:r>
      <w:r>
        <w:rPr>
          <w:sz w:val="26"/>
          <w:szCs w:val="26"/>
        </w:rPr>
        <w:t>_____</w:t>
      </w:r>
      <w:r w:rsidR="00BF1AA4" w:rsidRPr="009C7239">
        <w:rPr>
          <w:sz w:val="26"/>
          <w:szCs w:val="26"/>
        </w:rPr>
        <w:t>20</w:t>
      </w:r>
      <w:r w:rsidR="009C7239" w:rsidRPr="009C7239">
        <w:rPr>
          <w:sz w:val="26"/>
          <w:szCs w:val="26"/>
        </w:rPr>
        <w:t>2</w:t>
      </w:r>
      <w:r w:rsidR="00A678B5">
        <w:rPr>
          <w:sz w:val="26"/>
          <w:szCs w:val="26"/>
        </w:rPr>
        <w:t>2</w:t>
      </w:r>
      <w:r w:rsidR="00BF1AA4" w:rsidRPr="009C7239">
        <w:rPr>
          <w:sz w:val="26"/>
          <w:szCs w:val="26"/>
        </w:rPr>
        <w:t>р._______________</w:t>
      </w:r>
      <w:proofErr w:type="spellStart"/>
      <w:r>
        <w:rPr>
          <w:sz w:val="26"/>
          <w:szCs w:val="26"/>
          <w:lang w:val="ru-RU"/>
        </w:rPr>
        <w:t>Т.О.Кашапов</w:t>
      </w:r>
      <w:proofErr w:type="spellEnd"/>
    </w:p>
    <w:p w:rsidR="00290045" w:rsidRPr="009C7239" w:rsidRDefault="00290045" w:rsidP="00BF1AA4">
      <w:pPr>
        <w:ind w:left="-426" w:firstLine="2836"/>
        <w:rPr>
          <w:sz w:val="26"/>
          <w:szCs w:val="26"/>
          <w:lang w:val="ru-RU"/>
        </w:rPr>
      </w:pPr>
    </w:p>
    <w:sectPr w:rsidR="00290045" w:rsidRPr="009C7239" w:rsidSect="00CA786D">
      <w:pgSz w:w="16838" w:h="11906" w:orient="landscape"/>
      <w:pgMar w:top="568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5B5"/>
    <w:multiLevelType w:val="hybridMultilevel"/>
    <w:tmpl w:val="8806CB20"/>
    <w:lvl w:ilvl="0" w:tplc="4D38DE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062DF"/>
    <w:multiLevelType w:val="hybridMultilevel"/>
    <w:tmpl w:val="86BC44FA"/>
    <w:lvl w:ilvl="0" w:tplc="68D422E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0045"/>
    <w:rsid w:val="0000277B"/>
    <w:rsid w:val="00004802"/>
    <w:rsid w:val="00014A1A"/>
    <w:rsid w:val="0001643C"/>
    <w:rsid w:val="00020D87"/>
    <w:rsid w:val="00025690"/>
    <w:rsid w:val="0003233E"/>
    <w:rsid w:val="00034044"/>
    <w:rsid w:val="000344F5"/>
    <w:rsid w:val="00046415"/>
    <w:rsid w:val="000469CA"/>
    <w:rsid w:val="000612EC"/>
    <w:rsid w:val="0008250E"/>
    <w:rsid w:val="0008577B"/>
    <w:rsid w:val="000873F1"/>
    <w:rsid w:val="00095BE2"/>
    <w:rsid w:val="00095DE5"/>
    <w:rsid w:val="000A1DB5"/>
    <w:rsid w:val="000A72C2"/>
    <w:rsid w:val="000B11D4"/>
    <w:rsid w:val="000B54B9"/>
    <w:rsid w:val="000B5C09"/>
    <w:rsid w:val="000B7C7B"/>
    <w:rsid w:val="000C127F"/>
    <w:rsid w:val="000C6F72"/>
    <w:rsid w:val="000D016A"/>
    <w:rsid w:val="000D2119"/>
    <w:rsid w:val="000E26FB"/>
    <w:rsid w:val="000E6560"/>
    <w:rsid w:val="000E6D2C"/>
    <w:rsid w:val="000F06CB"/>
    <w:rsid w:val="000F0B16"/>
    <w:rsid w:val="000F613A"/>
    <w:rsid w:val="00104AFC"/>
    <w:rsid w:val="00110C5B"/>
    <w:rsid w:val="00113EF9"/>
    <w:rsid w:val="00124720"/>
    <w:rsid w:val="00127104"/>
    <w:rsid w:val="00136B3F"/>
    <w:rsid w:val="001370F2"/>
    <w:rsid w:val="0014227D"/>
    <w:rsid w:val="00145FF8"/>
    <w:rsid w:val="00147D20"/>
    <w:rsid w:val="00147E4B"/>
    <w:rsid w:val="00167648"/>
    <w:rsid w:val="00172175"/>
    <w:rsid w:val="00180BAA"/>
    <w:rsid w:val="00194C1D"/>
    <w:rsid w:val="001A6D37"/>
    <w:rsid w:val="001B05EA"/>
    <w:rsid w:val="001B1294"/>
    <w:rsid w:val="001B2188"/>
    <w:rsid w:val="001E2CF2"/>
    <w:rsid w:val="001F1724"/>
    <w:rsid w:val="001F19C4"/>
    <w:rsid w:val="00200FA5"/>
    <w:rsid w:val="00212FA7"/>
    <w:rsid w:val="00213EA9"/>
    <w:rsid w:val="00214FCE"/>
    <w:rsid w:val="00220B88"/>
    <w:rsid w:val="0023113B"/>
    <w:rsid w:val="00240507"/>
    <w:rsid w:val="00254231"/>
    <w:rsid w:val="00260B76"/>
    <w:rsid w:val="00266841"/>
    <w:rsid w:val="002671EA"/>
    <w:rsid w:val="002724F7"/>
    <w:rsid w:val="00275B16"/>
    <w:rsid w:val="00276411"/>
    <w:rsid w:val="00280F0E"/>
    <w:rsid w:val="00282CBC"/>
    <w:rsid w:val="00290045"/>
    <w:rsid w:val="0029200C"/>
    <w:rsid w:val="0029391E"/>
    <w:rsid w:val="00293A6B"/>
    <w:rsid w:val="00296702"/>
    <w:rsid w:val="002969FF"/>
    <w:rsid w:val="002A2CA3"/>
    <w:rsid w:val="002D318B"/>
    <w:rsid w:val="002D68B0"/>
    <w:rsid w:val="002D73EE"/>
    <w:rsid w:val="002D7BF7"/>
    <w:rsid w:val="002F0164"/>
    <w:rsid w:val="002F0F01"/>
    <w:rsid w:val="002F4F59"/>
    <w:rsid w:val="00305EC1"/>
    <w:rsid w:val="00311B19"/>
    <w:rsid w:val="003120B8"/>
    <w:rsid w:val="003165E1"/>
    <w:rsid w:val="003176E1"/>
    <w:rsid w:val="00320E39"/>
    <w:rsid w:val="00326C5F"/>
    <w:rsid w:val="0033026F"/>
    <w:rsid w:val="00355B87"/>
    <w:rsid w:val="00355E72"/>
    <w:rsid w:val="0036731B"/>
    <w:rsid w:val="00381782"/>
    <w:rsid w:val="003820F7"/>
    <w:rsid w:val="0038233C"/>
    <w:rsid w:val="003A09CE"/>
    <w:rsid w:val="003B24A6"/>
    <w:rsid w:val="003C6554"/>
    <w:rsid w:val="003D2F18"/>
    <w:rsid w:val="003E0E81"/>
    <w:rsid w:val="003E6567"/>
    <w:rsid w:val="004053EF"/>
    <w:rsid w:val="00405DD4"/>
    <w:rsid w:val="00410F6D"/>
    <w:rsid w:val="00416FDB"/>
    <w:rsid w:val="0041730C"/>
    <w:rsid w:val="004302AE"/>
    <w:rsid w:val="004328E9"/>
    <w:rsid w:val="00433C9C"/>
    <w:rsid w:val="00436370"/>
    <w:rsid w:val="0044138C"/>
    <w:rsid w:val="00442A2A"/>
    <w:rsid w:val="0045010E"/>
    <w:rsid w:val="00452F24"/>
    <w:rsid w:val="00467909"/>
    <w:rsid w:val="00467965"/>
    <w:rsid w:val="00470B8F"/>
    <w:rsid w:val="004852B1"/>
    <w:rsid w:val="004866E3"/>
    <w:rsid w:val="00486DD6"/>
    <w:rsid w:val="00497E2E"/>
    <w:rsid w:val="004A0600"/>
    <w:rsid w:val="004C1A1E"/>
    <w:rsid w:val="004C3718"/>
    <w:rsid w:val="004C5024"/>
    <w:rsid w:val="004C5639"/>
    <w:rsid w:val="004C7295"/>
    <w:rsid w:val="004C763B"/>
    <w:rsid w:val="004D61E9"/>
    <w:rsid w:val="004D7728"/>
    <w:rsid w:val="004E10F7"/>
    <w:rsid w:val="004F16B7"/>
    <w:rsid w:val="004F7A86"/>
    <w:rsid w:val="00505787"/>
    <w:rsid w:val="00507C2F"/>
    <w:rsid w:val="0052239F"/>
    <w:rsid w:val="00531B84"/>
    <w:rsid w:val="005344BC"/>
    <w:rsid w:val="00541848"/>
    <w:rsid w:val="005468A5"/>
    <w:rsid w:val="0055529B"/>
    <w:rsid w:val="005716AA"/>
    <w:rsid w:val="00580574"/>
    <w:rsid w:val="00584A0C"/>
    <w:rsid w:val="005871A4"/>
    <w:rsid w:val="005925B5"/>
    <w:rsid w:val="00592CBA"/>
    <w:rsid w:val="005A7664"/>
    <w:rsid w:val="005C1BBA"/>
    <w:rsid w:val="005C3B0D"/>
    <w:rsid w:val="005C5B65"/>
    <w:rsid w:val="005C5B83"/>
    <w:rsid w:val="005D7510"/>
    <w:rsid w:val="005D7CB5"/>
    <w:rsid w:val="005E0904"/>
    <w:rsid w:val="005E52C3"/>
    <w:rsid w:val="005F45C1"/>
    <w:rsid w:val="005F7838"/>
    <w:rsid w:val="00600C0B"/>
    <w:rsid w:val="00601A87"/>
    <w:rsid w:val="00604A26"/>
    <w:rsid w:val="00605820"/>
    <w:rsid w:val="006121CA"/>
    <w:rsid w:val="006170B6"/>
    <w:rsid w:val="00617DC7"/>
    <w:rsid w:val="006266C7"/>
    <w:rsid w:val="00633AD1"/>
    <w:rsid w:val="00636156"/>
    <w:rsid w:val="00637965"/>
    <w:rsid w:val="00640D38"/>
    <w:rsid w:val="0064588B"/>
    <w:rsid w:val="00651077"/>
    <w:rsid w:val="006540A7"/>
    <w:rsid w:val="006577F9"/>
    <w:rsid w:val="0066608D"/>
    <w:rsid w:val="00680E3B"/>
    <w:rsid w:val="00693D8A"/>
    <w:rsid w:val="00697705"/>
    <w:rsid w:val="006C1FE8"/>
    <w:rsid w:val="006C3A0B"/>
    <w:rsid w:val="006D0A14"/>
    <w:rsid w:val="006D7A2F"/>
    <w:rsid w:val="006F178C"/>
    <w:rsid w:val="006F4387"/>
    <w:rsid w:val="006F7769"/>
    <w:rsid w:val="00702073"/>
    <w:rsid w:val="00702AC3"/>
    <w:rsid w:val="00706063"/>
    <w:rsid w:val="007062EF"/>
    <w:rsid w:val="00711D05"/>
    <w:rsid w:val="00713B12"/>
    <w:rsid w:val="0071715A"/>
    <w:rsid w:val="00725BE1"/>
    <w:rsid w:val="007345A3"/>
    <w:rsid w:val="00735E8D"/>
    <w:rsid w:val="00736A40"/>
    <w:rsid w:val="007402E7"/>
    <w:rsid w:val="00741A7C"/>
    <w:rsid w:val="007503D3"/>
    <w:rsid w:val="007557A1"/>
    <w:rsid w:val="00762F25"/>
    <w:rsid w:val="00764487"/>
    <w:rsid w:val="0077387E"/>
    <w:rsid w:val="0077615E"/>
    <w:rsid w:val="00776407"/>
    <w:rsid w:val="00777A10"/>
    <w:rsid w:val="00785553"/>
    <w:rsid w:val="0079037E"/>
    <w:rsid w:val="0079688D"/>
    <w:rsid w:val="007A30FC"/>
    <w:rsid w:val="007B0BE4"/>
    <w:rsid w:val="007C672C"/>
    <w:rsid w:val="007D7053"/>
    <w:rsid w:val="007E4BBE"/>
    <w:rsid w:val="007F0AEF"/>
    <w:rsid w:val="008006FC"/>
    <w:rsid w:val="00801B92"/>
    <w:rsid w:val="00811794"/>
    <w:rsid w:val="008127B1"/>
    <w:rsid w:val="00815DCE"/>
    <w:rsid w:val="00816D2C"/>
    <w:rsid w:val="00820048"/>
    <w:rsid w:val="008273E3"/>
    <w:rsid w:val="00831BAF"/>
    <w:rsid w:val="00841A81"/>
    <w:rsid w:val="00847746"/>
    <w:rsid w:val="00850A4D"/>
    <w:rsid w:val="008536F8"/>
    <w:rsid w:val="0085443F"/>
    <w:rsid w:val="008551CD"/>
    <w:rsid w:val="00860201"/>
    <w:rsid w:val="0086445E"/>
    <w:rsid w:val="008807A0"/>
    <w:rsid w:val="00884338"/>
    <w:rsid w:val="00895645"/>
    <w:rsid w:val="008A0115"/>
    <w:rsid w:val="008B3E6D"/>
    <w:rsid w:val="008C0BB0"/>
    <w:rsid w:val="008C147D"/>
    <w:rsid w:val="008C27C1"/>
    <w:rsid w:val="008D34AB"/>
    <w:rsid w:val="008D42ED"/>
    <w:rsid w:val="008D53BA"/>
    <w:rsid w:val="008D6CA2"/>
    <w:rsid w:val="008F0C10"/>
    <w:rsid w:val="008F142C"/>
    <w:rsid w:val="008F2689"/>
    <w:rsid w:val="008F662A"/>
    <w:rsid w:val="00901C81"/>
    <w:rsid w:val="00907304"/>
    <w:rsid w:val="0090779F"/>
    <w:rsid w:val="00922665"/>
    <w:rsid w:val="00927C98"/>
    <w:rsid w:val="00927DBA"/>
    <w:rsid w:val="00932204"/>
    <w:rsid w:val="00942AAD"/>
    <w:rsid w:val="00942DB3"/>
    <w:rsid w:val="00946CE5"/>
    <w:rsid w:val="0094795F"/>
    <w:rsid w:val="009523BB"/>
    <w:rsid w:val="0095343A"/>
    <w:rsid w:val="00962E43"/>
    <w:rsid w:val="00974663"/>
    <w:rsid w:val="00976C08"/>
    <w:rsid w:val="009818E0"/>
    <w:rsid w:val="00982EC5"/>
    <w:rsid w:val="00987EF2"/>
    <w:rsid w:val="00991348"/>
    <w:rsid w:val="00991E19"/>
    <w:rsid w:val="00993E7B"/>
    <w:rsid w:val="00993F76"/>
    <w:rsid w:val="009944BF"/>
    <w:rsid w:val="0099537C"/>
    <w:rsid w:val="00997001"/>
    <w:rsid w:val="009A2C2C"/>
    <w:rsid w:val="009A303F"/>
    <w:rsid w:val="009B16A0"/>
    <w:rsid w:val="009B2839"/>
    <w:rsid w:val="009B5059"/>
    <w:rsid w:val="009B5D30"/>
    <w:rsid w:val="009C0DE5"/>
    <w:rsid w:val="009C403F"/>
    <w:rsid w:val="009C7239"/>
    <w:rsid w:val="009D12C8"/>
    <w:rsid w:val="009D755A"/>
    <w:rsid w:val="009D7F07"/>
    <w:rsid w:val="009E16DD"/>
    <w:rsid w:val="009E46C5"/>
    <w:rsid w:val="009E53E1"/>
    <w:rsid w:val="009E578C"/>
    <w:rsid w:val="009F1960"/>
    <w:rsid w:val="009F4CC2"/>
    <w:rsid w:val="009F57F9"/>
    <w:rsid w:val="00A058E8"/>
    <w:rsid w:val="00A144E6"/>
    <w:rsid w:val="00A16E77"/>
    <w:rsid w:val="00A266B4"/>
    <w:rsid w:val="00A30C3F"/>
    <w:rsid w:val="00A35571"/>
    <w:rsid w:val="00A36A73"/>
    <w:rsid w:val="00A42C92"/>
    <w:rsid w:val="00A45A31"/>
    <w:rsid w:val="00A45DCD"/>
    <w:rsid w:val="00A62114"/>
    <w:rsid w:val="00A62CF9"/>
    <w:rsid w:val="00A66C50"/>
    <w:rsid w:val="00A67239"/>
    <w:rsid w:val="00A678B5"/>
    <w:rsid w:val="00A71B6D"/>
    <w:rsid w:val="00A7371A"/>
    <w:rsid w:val="00A8033D"/>
    <w:rsid w:val="00A84F7A"/>
    <w:rsid w:val="00A910FC"/>
    <w:rsid w:val="00AA22FC"/>
    <w:rsid w:val="00AA3BFF"/>
    <w:rsid w:val="00AA6101"/>
    <w:rsid w:val="00AB1086"/>
    <w:rsid w:val="00AC51AA"/>
    <w:rsid w:val="00AC6F7A"/>
    <w:rsid w:val="00AD2644"/>
    <w:rsid w:val="00AE047E"/>
    <w:rsid w:val="00B075E0"/>
    <w:rsid w:val="00B13573"/>
    <w:rsid w:val="00B163C4"/>
    <w:rsid w:val="00B2043C"/>
    <w:rsid w:val="00B22758"/>
    <w:rsid w:val="00B236AA"/>
    <w:rsid w:val="00B42E3E"/>
    <w:rsid w:val="00B52CBE"/>
    <w:rsid w:val="00B62F41"/>
    <w:rsid w:val="00B64BB7"/>
    <w:rsid w:val="00B65EC7"/>
    <w:rsid w:val="00B712FD"/>
    <w:rsid w:val="00B764B1"/>
    <w:rsid w:val="00B80D18"/>
    <w:rsid w:val="00B91EB2"/>
    <w:rsid w:val="00BA3227"/>
    <w:rsid w:val="00BB5E3A"/>
    <w:rsid w:val="00BB5E55"/>
    <w:rsid w:val="00BC057C"/>
    <w:rsid w:val="00BC5924"/>
    <w:rsid w:val="00BC74CE"/>
    <w:rsid w:val="00BD3D12"/>
    <w:rsid w:val="00BD3F2D"/>
    <w:rsid w:val="00BE43D9"/>
    <w:rsid w:val="00BE4757"/>
    <w:rsid w:val="00BF1AA4"/>
    <w:rsid w:val="00BF3B0B"/>
    <w:rsid w:val="00BF46EB"/>
    <w:rsid w:val="00BF7D75"/>
    <w:rsid w:val="00C24342"/>
    <w:rsid w:val="00C243FE"/>
    <w:rsid w:val="00C2630E"/>
    <w:rsid w:val="00C266BF"/>
    <w:rsid w:val="00C27F8D"/>
    <w:rsid w:val="00C3668D"/>
    <w:rsid w:val="00C40263"/>
    <w:rsid w:val="00C56FE9"/>
    <w:rsid w:val="00C71F3C"/>
    <w:rsid w:val="00C731A8"/>
    <w:rsid w:val="00C74A49"/>
    <w:rsid w:val="00C75AB3"/>
    <w:rsid w:val="00C76CF0"/>
    <w:rsid w:val="00C830C1"/>
    <w:rsid w:val="00C84266"/>
    <w:rsid w:val="00C92255"/>
    <w:rsid w:val="00C92432"/>
    <w:rsid w:val="00C95872"/>
    <w:rsid w:val="00CA0230"/>
    <w:rsid w:val="00CA496D"/>
    <w:rsid w:val="00CA786D"/>
    <w:rsid w:val="00CB2BCB"/>
    <w:rsid w:val="00CD0049"/>
    <w:rsid w:val="00CD1760"/>
    <w:rsid w:val="00CD25AD"/>
    <w:rsid w:val="00CD4297"/>
    <w:rsid w:val="00CD533A"/>
    <w:rsid w:val="00CE791E"/>
    <w:rsid w:val="00CE7EE4"/>
    <w:rsid w:val="00CF6827"/>
    <w:rsid w:val="00D23E69"/>
    <w:rsid w:val="00D427DE"/>
    <w:rsid w:val="00D51D65"/>
    <w:rsid w:val="00D52713"/>
    <w:rsid w:val="00D62A52"/>
    <w:rsid w:val="00D72B34"/>
    <w:rsid w:val="00D90BA1"/>
    <w:rsid w:val="00D9714F"/>
    <w:rsid w:val="00DA0454"/>
    <w:rsid w:val="00DA0DDA"/>
    <w:rsid w:val="00DB3FD0"/>
    <w:rsid w:val="00DB4162"/>
    <w:rsid w:val="00DB53AC"/>
    <w:rsid w:val="00DB7746"/>
    <w:rsid w:val="00DC0E91"/>
    <w:rsid w:val="00DC385D"/>
    <w:rsid w:val="00DC431F"/>
    <w:rsid w:val="00DC4D7D"/>
    <w:rsid w:val="00DC5F8C"/>
    <w:rsid w:val="00DD272F"/>
    <w:rsid w:val="00DD6094"/>
    <w:rsid w:val="00DD6939"/>
    <w:rsid w:val="00DE5120"/>
    <w:rsid w:val="00DE7C4F"/>
    <w:rsid w:val="00E03A13"/>
    <w:rsid w:val="00E03AA6"/>
    <w:rsid w:val="00E06010"/>
    <w:rsid w:val="00E21BAD"/>
    <w:rsid w:val="00E222BB"/>
    <w:rsid w:val="00E31C15"/>
    <w:rsid w:val="00E33A84"/>
    <w:rsid w:val="00E34541"/>
    <w:rsid w:val="00E5152A"/>
    <w:rsid w:val="00E53AC6"/>
    <w:rsid w:val="00E54BDE"/>
    <w:rsid w:val="00E55B88"/>
    <w:rsid w:val="00E66BCB"/>
    <w:rsid w:val="00E66FEF"/>
    <w:rsid w:val="00E8030D"/>
    <w:rsid w:val="00E81F50"/>
    <w:rsid w:val="00E836A0"/>
    <w:rsid w:val="00E905B5"/>
    <w:rsid w:val="00E975F0"/>
    <w:rsid w:val="00EB2E16"/>
    <w:rsid w:val="00EC0AC1"/>
    <w:rsid w:val="00ED71BD"/>
    <w:rsid w:val="00EE04D4"/>
    <w:rsid w:val="00EF0528"/>
    <w:rsid w:val="00EF2D5F"/>
    <w:rsid w:val="00EF2DE1"/>
    <w:rsid w:val="00EF3589"/>
    <w:rsid w:val="00EF5BF9"/>
    <w:rsid w:val="00EF7229"/>
    <w:rsid w:val="00F070CC"/>
    <w:rsid w:val="00F07BF6"/>
    <w:rsid w:val="00F40F5A"/>
    <w:rsid w:val="00F419AD"/>
    <w:rsid w:val="00F4323C"/>
    <w:rsid w:val="00F449A9"/>
    <w:rsid w:val="00F51109"/>
    <w:rsid w:val="00F536E9"/>
    <w:rsid w:val="00F54A34"/>
    <w:rsid w:val="00F5627B"/>
    <w:rsid w:val="00F6437D"/>
    <w:rsid w:val="00F66C0B"/>
    <w:rsid w:val="00F72F5C"/>
    <w:rsid w:val="00F73F73"/>
    <w:rsid w:val="00F77549"/>
    <w:rsid w:val="00F83430"/>
    <w:rsid w:val="00F90F18"/>
    <w:rsid w:val="00F9360D"/>
    <w:rsid w:val="00F94050"/>
    <w:rsid w:val="00F97630"/>
    <w:rsid w:val="00FA0EC2"/>
    <w:rsid w:val="00FB1363"/>
    <w:rsid w:val="00FB2495"/>
    <w:rsid w:val="00FB4F0F"/>
    <w:rsid w:val="00FB703B"/>
    <w:rsid w:val="00FC0139"/>
    <w:rsid w:val="00FC1060"/>
    <w:rsid w:val="00FC52D6"/>
    <w:rsid w:val="00FE1230"/>
    <w:rsid w:val="00FF023F"/>
    <w:rsid w:val="00FF0DFE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45"/>
    <w:pPr>
      <w:spacing w:after="160" w:line="259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045"/>
    <w:pPr>
      <w:spacing w:after="0" w:line="240" w:lineRule="auto"/>
    </w:pPr>
    <w:rPr>
      <w:rFonts w:asciiTheme="minorHAnsi" w:hAnsiTheme="minorHAnsi" w:cstheme="minorBidi"/>
      <w:lang w:val="ru-RU"/>
    </w:rPr>
  </w:style>
  <w:style w:type="paragraph" w:customStyle="1" w:styleId="Default">
    <w:name w:val="Default"/>
    <w:qFormat/>
    <w:rsid w:val="00290045"/>
    <w:pPr>
      <w:widowControl w:val="0"/>
      <w:suppressAutoHyphens/>
      <w:spacing w:after="0" w:line="240" w:lineRule="auto"/>
    </w:pPr>
    <w:rPr>
      <w:rFonts w:eastAsia="SimSun" w:cs="Arial"/>
      <w:color w:val="000000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290045"/>
    <w:pPr>
      <w:spacing w:after="200" w:line="276" w:lineRule="auto"/>
      <w:ind w:left="720"/>
      <w:contextualSpacing/>
    </w:pPr>
    <w:rPr>
      <w:lang w:val="ru-RU"/>
    </w:rPr>
  </w:style>
  <w:style w:type="character" w:styleId="a5">
    <w:name w:val="Strong"/>
    <w:basedOn w:val="a0"/>
    <w:uiPriority w:val="22"/>
    <w:qFormat/>
    <w:rsid w:val="00811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46F8C-6D4F-40AD-BD23-B877B5EF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7</Pages>
  <Words>9254</Words>
  <Characters>5276</Characters>
  <Application>Microsoft Office Word</Application>
  <DocSecurity>0</DocSecurity>
  <Lines>43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7</cp:revision>
  <cp:lastPrinted>2021-03-23T08:13:00Z</cp:lastPrinted>
  <dcterms:created xsi:type="dcterms:W3CDTF">2017-01-17T16:42:00Z</dcterms:created>
  <dcterms:modified xsi:type="dcterms:W3CDTF">2022-02-16T08:42:00Z</dcterms:modified>
</cp:coreProperties>
</file>