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563EE" w:rsidRPr="00A563EE" w:rsidTr="005C1C50">
        <w:trPr>
          <w:tblCellSpacing w:w="22" w:type="dxa"/>
        </w:trPr>
        <w:tc>
          <w:tcPr>
            <w:tcW w:w="5000" w:type="pct"/>
            <w:hideMark/>
          </w:tcPr>
          <w:p w:rsidR="00A563EE" w:rsidRPr="00A563EE" w:rsidRDefault="00A563EE" w:rsidP="00A563EE">
            <w:pPr>
              <w:spacing w:after="0" w:line="240" w:lineRule="auto"/>
              <w:rPr>
                <w:rFonts w:ascii="Times New Roman" w:eastAsiaTheme="minorEastAsia" w:hAnsi="Times New Roman" w:cs="Times New Roman"/>
                <w:b/>
                <w:bCs/>
                <w:sz w:val="24"/>
                <w:szCs w:val="24"/>
                <w:lang w:eastAsia="uk-UA"/>
              </w:rPr>
            </w:pPr>
            <w:r w:rsidRPr="00A563EE">
              <w:rPr>
                <w:rFonts w:ascii="Times New Roman" w:eastAsiaTheme="minorEastAsia" w:hAnsi="Times New Roman" w:cs="Times New Roman"/>
                <w:sz w:val="24"/>
                <w:szCs w:val="24"/>
                <w:lang w:eastAsia="uk-UA"/>
              </w:rPr>
              <w:t>Додаток 6</w:t>
            </w:r>
            <w:r w:rsidRPr="00A563EE">
              <w:rPr>
                <w:rFonts w:ascii="Times New Roman" w:eastAsiaTheme="minorEastAsia" w:hAnsi="Times New Roman" w:cs="Times New Roman"/>
                <w:sz w:val="24"/>
                <w:szCs w:val="24"/>
                <w:lang w:eastAsia="uk-UA"/>
              </w:rPr>
              <w:br/>
              <w:t>до наказу Координаційного центру з надання правової допомоги</w:t>
            </w:r>
            <w:r w:rsidRPr="00A563EE">
              <w:rPr>
                <w:rFonts w:ascii="Times New Roman" w:eastAsiaTheme="minorEastAsia" w:hAnsi="Times New Roman" w:cs="Times New Roman"/>
                <w:sz w:val="24"/>
                <w:szCs w:val="24"/>
                <w:lang w:eastAsia="uk-UA"/>
              </w:rPr>
              <w:br/>
            </w:r>
            <w:r w:rsidRPr="00A563EE">
              <w:rPr>
                <w:rFonts w:ascii="Times New Roman" w:eastAsiaTheme="minorEastAsia" w:hAnsi="Times New Roman" w:cs="Times New Roman"/>
                <w:bCs/>
                <w:sz w:val="24"/>
                <w:szCs w:val="24"/>
                <w:lang w:eastAsia="uk-UA"/>
              </w:rPr>
              <w:t xml:space="preserve"> від «___» ______ 201</w:t>
            </w:r>
            <w:r w:rsidRPr="00A563EE">
              <w:rPr>
                <w:rFonts w:ascii="Times New Roman" w:eastAsiaTheme="minorEastAsia" w:hAnsi="Times New Roman" w:cs="Times New Roman"/>
                <w:bCs/>
                <w:sz w:val="24"/>
                <w:szCs w:val="24"/>
                <w:lang w:val="ru-RU" w:eastAsia="uk-UA"/>
              </w:rPr>
              <w:t>9</w:t>
            </w:r>
            <w:r w:rsidRPr="00A563EE">
              <w:rPr>
                <w:rFonts w:ascii="Times New Roman" w:eastAsiaTheme="minorEastAsia" w:hAnsi="Times New Roman" w:cs="Times New Roman"/>
                <w:bCs/>
                <w:sz w:val="24"/>
                <w:szCs w:val="24"/>
                <w:lang w:eastAsia="uk-UA"/>
              </w:rPr>
              <w:t xml:space="preserve"> року № __</w:t>
            </w:r>
          </w:p>
          <w:p w:rsidR="00A563EE" w:rsidRPr="00A563EE" w:rsidRDefault="00A563EE" w:rsidP="00A563EE">
            <w:pPr>
              <w:spacing w:after="0" w:line="240" w:lineRule="auto"/>
              <w:rPr>
                <w:rFonts w:ascii="Times New Roman" w:eastAsiaTheme="minorEastAsia" w:hAnsi="Times New Roman" w:cs="Times New Roman"/>
                <w:sz w:val="24"/>
                <w:szCs w:val="24"/>
                <w:lang w:eastAsia="uk-UA"/>
              </w:rPr>
            </w:pPr>
          </w:p>
        </w:tc>
      </w:tr>
    </w:tbl>
    <w:p w:rsidR="00A563EE" w:rsidRPr="00A563EE" w:rsidRDefault="00A563EE" w:rsidP="00A563EE">
      <w:pPr>
        <w:spacing w:after="0" w:line="240" w:lineRule="auto"/>
        <w:jc w:val="both"/>
        <w:rPr>
          <w:rFonts w:ascii="Times New Roman" w:eastAsiaTheme="minorEastAsia" w:hAnsi="Times New Roman" w:cs="Times New Roman"/>
          <w:sz w:val="24"/>
          <w:szCs w:val="24"/>
          <w:lang w:eastAsia="uk-UA"/>
        </w:rPr>
      </w:pPr>
      <w:r w:rsidRPr="00A563EE">
        <w:rPr>
          <w:rFonts w:ascii="Times New Roman" w:eastAsiaTheme="minorEastAsia" w:hAnsi="Times New Roman" w:cs="Times New Roman"/>
          <w:sz w:val="24"/>
          <w:szCs w:val="24"/>
          <w:lang w:eastAsia="uk-UA"/>
        </w:rPr>
        <w:br w:type="textWrapping" w:clear="all"/>
      </w:r>
    </w:p>
    <w:p w:rsidR="00A563EE" w:rsidRPr="00A563EE" w:rsidRDefault="00A563EE" w:rsidP="00A563EE">
      <w:pPr>
        <w:spacing w:after="0" w:line="240" w:lineRule="auto"/>
        <w:jc w:val="center"/>
        <w:outlineLvl w:val="2"/>
        <w:rPr>
          <w:rFonts w:ascii="Times New Roman" w:eastAsia="Times New Roman" w:hAnsi="Times New Roman" w:cs="Times New Roman"/>
          <w:b/>
          <w:bCs/>
          <w:sz w:val="28"/>
          <w:szCs w:val="28"/>
          <w:lang w:eastAsia="uk-UA"/>
        </w:rPr>
      </w:pPr>
      <w:r w:rsidRPr="00A563EE">
        <w:rPr>
          <w:rFonts w:ascii="Times New Roman" w:eastAsia="Times New Roman" w:hAnsi="Times New Roman" w:cs="Times New Roman"/>
          <w:b/>
          <w:bCs/>
          <w:sz w:val="28"/>
          <w:szCs w:val="28"/>
          <w:lang w:eastAsia="uk-UA"/>
        </w:rPr>
        <w:t>ТИПОВЕ ПОЛОЖЕННЯ</w:t>
      </w:r>
      <w:r w:rsidRPr="00A563EE">
        <w:rPr>
          <w:rFonts w:ascii="Times New Roman" w:eastAsia="Times New Roman" w:hAnsi="Times New Roman" w:cs="Times New Roman"/>
          <w:b/>
          <w:bCs/>
          <w:sz w:val="28"/>
          <w:szCs w:val="28"/>
          <w:lang w:eastAsia="uk-UA"/>
        </w:rPr>
        <w:br/>
        <w:t>про відділ фінансів, бухгалтерського обліку та звітності регіонального центру з надання безоплатної вторинної правової допомоги</w:t>
      </w:r>
      <w:r w:rsidRPr="00A563EE">
        <w:rPr>
          <w:rFonts w:ascii="Times New Roman" w:eastAsiaTheme="minorEastAsia" w:hAnsi="Times New Roman" w:cs="Times New Roman"/>
          <w:b/>
          <w:bCs/>
          <w:sz w:val="27"/>
          <w:szCs w:val="27"/>
          <w:lang w:eastAsia="uk-UA"/>
        </w:rPr>
        <w:t xml:space="preserve"> </w:t>
      </w:r>
      <w:r w:rsidRPr="00A563EE">
        <w:rPr>
          <w:rFonts w:ascii="Times New Roman" w:eastAsia="Times New Roman" w:hAnsi="Times New Roman" w:cs="Times New Roman"/>
          <w:b/>
          <w:bCs/>
          <w:sz w:val="28"/>
          <w:szCs w:val="28"/>
          <w:lang w:eastAsia="uk-UA"/>
        </w:rPr>
        <w:t>у Донецькій та Запорізькій (Луганській та Харківській) областях</w:t>
      </w:r>
    </w:p>
    <w:p w:rsidR="00A563EE" w:rsidRPr="00A563EE" w:rsidRDefault="00A563EE" w:rsidP="00A563EE">
      <w:pPr>
        <w:spacing w:after="0" w:line="240" w:lineRule="auto"/>
        <w:jc w:val="center"/>
        <w:outlineLvl w:val="2"/>
        <w:rPr>
          <w:rFonts w:ascii="Times New Roman" w:eastAsia="Times New Roman" w:hAnsi="Times New Roman" w:cs="Times New Roman"/>
          <w:b/>
          <w:bCs/>
          <w:sz w:val="28"/>
          <w:szCs w:val="28"/>
          <w:lang w:eastAsia="uk-UA"/>
        </w:rPr>
      </w:pP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1. Відділ фінансів, бухгалтерського обліку та звітності регіонального центру з надання безоплатної вторинної правової допомоги (далі – Відділ) є самостійним структурним підрозділом регіонального центру з надання безоплатної вторинної правової допомоги у Донецькій та Запорізькій (Луганській та Харківській) областях (далі – регіональний центр).</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 xml:space="preserve">2. Відділ у своїй роботі підпорядковується, є підзвітним та підконтрольним директору або заступнику директора регіонального центру відповідно до розподілу </w:t>
      </w:r>
      <w:proofErr w:type="spellStart"/>
      <w:r w:rsidRPr="00A563EE">
        <w:rPr>
          <w:rFonts w:ascii="Times New Roman" w:eastAsiaTheme="minorEastAsia" w:hAnsi="Times New Roman" w:cs="Times New Roman"/>
          <w:sz w:val="28"/>
          <w:szCs w:val="28"/>
          <w:lang w:eastAsia="uk-UA"/>
        </w:rPr>
        <w:t>обов</w:t>
      </w:r>
      <w:proofErr w:type="spellEnd"/>
      <w:r w:rsidRPr="00A563EE">
        <w:rPr>
          <w:rFonts w:ascii="Times New Roman" w:eastAsiaTheme="minorEastAsia" w:hAnsi="Times New Roman" w:cs="Times New Roman"/>
          <w:sz w:val="28"/>
          <w:szCs w:val="28"/>
          <w:lang w:val="ru-RU" w:eastAsia="uk-UA"/>
        </w:rPr>
        <w:t>’</w:t>
      </w:r>
      <w:proofErr w:type="spellStart"/>
      <w:r w:rsidRPr="00A563EE">
        <w:rPr>
          <w:rFonts w:ascii="Times New Roman" w:eastAsiaTheme="minorEastAsia" w:hAnsi="Times New Roman" w:cs="Times New Roman"/>
          <w:sz w:val="28"/>
          <w:szCs w:val="28"/>
          <w:lang w:eastAsia="uk-UA"/>
        </w:rPr>
        <w:t>язків</w:t>
      </w:r>
      <w:proofErr w:type="spellEnd"/>
      <w:r w:rsidRPr="00A563EE">
        <w:rPr>
          <w:rFonts w:ascii="Times New Roman" w:eastAsiaTheme="minorEastAsia" w:hAnsi="Times New Roman" w:cs="Times New Roman"/>
          <w:sz w:val="28"/>
          <w:szCs w:val="28"/>
          <w:lang w:eastAsia="uk-UA"/>
        </w:rPr>
        <w:t>, головному бухгалтеру регіонального центру.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Діяльність Відділу спрямовується і координується головним бухгалтером Координаційного центру з надання правової допомоги (далі – Координаційний центр), а також:</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 xml:space="preserve">фінансовим відділом управління стратегічного планування та фінансів Координаційного центру– з питань планово-фінансової роботи; </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відділом бухгалтерського обліку та фінансової звітності Координаційного центру з надання правової допомоги – з питань бухгалтерського обліку, фінансової, бюджетної, статистичної та іншої звітності.</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3. Відділ очолює начальник Відділу,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 Начальник Відділу у разі відсутності головного бухгалтера регіонального центру виконує його обов’язки.</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Начальник Відділу має заступника,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регіонального центру.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 xml:space="preserve">4. У своїй діяльності Відділ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w:t>
      </w:r>
      <w:r w:rsidRPr="00A563EE">
        <w:rPr>
          <w:rFonts w:ascii="Times New Roman" w:eastAsiaTheme="minorEastAsia" w:hAnsi="Times New Roman" w:cs="Times New Roman"/>
          <w:sz w:val="28"/>
          <w:szCs w:val="28"/>
          <w:lang w:eastAsia="uk-UA"/>
        </w:rPr>
        <w:lastRenderedPageBreak/>
        <w:t>нормативно-правовими актами, цим Положенням, наказами Координаційного центру та регіонального центру.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5. Основними завданнями Відділу є:</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1) ведення планово-фінансової роботи, управління бюджетними коштами у межах установлених бюджетних призначень, ефективне та цільове використання коштів загального та спеціального фонду державного бюджету (далі – бюджетні кошти) і майна регіонального центру; здійснення контролю за ефективним та цільовим використанням коштів і майна підпорядкованих йому місцевих центрів з надання безоплатної вторинної правової допомоги (далі – місцеві центри);</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2) ведення бухгалтерського обліку фінансово-господарської діяльності, складення фінансової, бюджетної, статистичної та іншої звітності регіонального центру; здійснення контролю за своєчасним складанням фінансової та бюджетної звітності підпорядкованими місцевими центрами та складання консолідованої фінансової та бюджетної звітності;</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3) надання методичної та практичної допомоги місцевим центрам з питань організації планово-фінансової роботи.</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6. Відділ відповідно до покладених на нього завдань:</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здійснює підготовку та подання до Координаційного центру узгоджених на засіданні керівної ради:</w:t>
      </w:r>
    </w:p>
    <w:p w:rsidR="00A563EE" w:rsidRPr="00A563EE" w:rsidRDefault="00A563EE" w:rsidP="00115B2C">
      <w:pPr>
        <w:pStyle w:val="a7"/>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пропозицій до бюджетного запиту на плановий бюджетний період і наступні за плановим два бюджетні періоди за відповідними бюджетними програмами;</w:t>
      </w:r>
    </w:p>
    <w:p w:rsidR="00A563EE" w:rsidRPr="00A563EE" w:rsidRDefault="00A563EE" w:rsidP="00115B2C">
      <w:pPr>
        <w:pStyle w:val="a7"/>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проектів зведеного кошторису і штатної чисельності регіонального центру та місцевих центрів і пропозицій щодо внесення змін до них;</w:t>
      </w:r>
    </w:p>
    <w:p w:rsidR="00115B2C" w:rsidRDefault="00A563EE" w:rsidP="00115B2C">
      <w:pPr>
        <w:pStyle w:val="a7"/>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розподілів показників зведених кошторисів та зведених планів асигнувань загального фонду державного бюджету (за винятком надання кредитів з державного бюджету) за відповідними бюджетними програмами на основі показників, доведених витягами з річного та помісячного розписів асигнувань загального фонду державного бюджету;</w:t>
      </w:r>
    </w:p>
    <w:p w:rsidR="00A563EE" w:rsidRPr="00115B2C" w:rsidRDefault="00A563EE" w:rsidP="00115B2C">
      <w:pPr>
        <w:pStyle w:val="a7"/>
        <w:tabs>
          <w:tab w:val="left" w:pos="1134"/>
        </w:tabs>
        <w:spacing w:after="0" w:line="240" w:lineRule="auto"/>
        <w:ind w:left="0" w:firstLine="709"/>
        <w:jc w:val="both"/>
        <w:rPr>
          <w:rFonts w:ascii="Times New Roman" w:eastAsiaTheme="minorEastAsia" w:hAnsi="Times New Roman" w:cs="Times New Roman"/>
          <w:sz w:val="28"/>
          <w:szCs w:val="28"/>
          <w:lang w:eastAsia="uk-UA"/>
        </w:rPr>
      </w:pPr>
      <w:bookmarkStart w:id="0" w:name="_GoBack"/>
      <w:bookmarkEnd w:id="0"/>
      <w:r w:rsidRPr="00115B2C">
        <w:rPr>
          <w:rFonts w:ascii="Times New Roman" w:eastAsiaTheme="minorEastAsia" w:hAnsi="Times New Roman" w:cs="Times New Roman"/>
          <w:sz w:val="28"/>
          <w:szCs w:val="28"/>
          <w:lang w:eastAsia="uk-UA"/>
        </w:rPr>
        <w:t>проектів кошторисів, планів асигнувань загального фонду державного бюджету (за винятком надання кредитів з державного бюджету) та штатного розпису регіонального центру разом з розрахунками;</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визначає порядок та строки подання місцевими центрами розрахунків видатків для підготовки бюджетного запиту, визначає реальну потребу у бюджетних коштах при формуванні показників зведених кошторисів та зведених планів асигнувань загального фонду державного бюджету (за винятком надання кредитів з державного бюджету) на основі показників, що доведені лімітними довідками про бюджетні асигнування та кредитування, здійснює облік та розподіл виділених бюджетних асигнувань на забезпечення функціонування місцевих центрів;</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 xml:space="preserve">координує підготовку, розглядає та подає на затвердження директору регіонального центру проекти кошторисів, планів асигнувань </w:t>
      </w:r>
      <w:r w:rsidRPr="00A563EE">
        <w:rPr>
          <w:rFonts w:ascii="Times New Roman" w:eastAsiaTheme="minorEastAsia" w:hAnsi="Times New Roman" w:cs="Times New Roman"/>
          <w:sz w:val="28"/>
          <w:szCs w:val="28"/>
          <w:lang w:eastAsia="uk-UA"/>
        </w:rPr>
        <w:lastRenderedPageBreak/>
        <w:t>загального фонду державного бюджету (за винятком надання кредитів з державного бюджету) та штатних розписів місцевих центрів;</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забезпечує підготовку інформації, необхідної для складення паспортів бюджетних програм, звітної інформації про виконання паспортів бюджетних програм та подає її Координаційному центру;</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забезпечує виконання кошторисів регіонального центру, ефективне та цільове використання бюджетних коштів, які виділяються регіональному центру на фінансування за бюджетними програмами; здійснює контроль за виконанням кошторисів, ефективним та цільовим використанням бюджетних коштів місцевими центрами;</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складає на підставі даних бухгалтерського обліку фінансову та бюджетну звітність регіонального центру, а також консолідовану фінансову та бюджетну звітність по регіону;</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готує інформацію про фінансовий стан регіонального центру та місцевих центрів, результати їх діяльності та рух бюджетних коштів;</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забезпечує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складання фінансової звітності;</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бере участь в підготовці та укладанні контрактів/договорів, у тому числі з адвокатами, які надають безоплатну вторинну правову допомогу; забезпечує реєстрацію узятих бюджетних зобов’язань в органах Казначейства в межах бюджетних призначень на відповідний бюджетний період; здійснює контроль за виконанням контрактів/договорів та їх зберіганням;</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опрацьовує акти надання безоплатної вторинної правової допомоги з відповідними розрахунками та додатками, візує їх, подає на затвердження директору та після затвердження подає на реєстрацію до органів Казначейства;</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бере участь у розгляді матеріалів за результатами проведення перевірок, ревізій та інвентаризації, висновків за фактами виявлених порушень та вживає заходів щодо усунення виявлених порушень;</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готує матеріали для розгляду на засіданнях керівної ради в межах компетенції Відділу;</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бере участь у підготовці довідкових, інформаційних, аналітичних, статистичних, звітних та інших матеріалів з питань, що належать до компетенції Відділу;</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розглядає звернення громадян (юридичних осіб), запити на інформацію з питань, що належать до компетенції Відділу;</w:t>
      </w:r>
    </w:p>
    <w:p w:rsidR="00A563EE" w:rsidRPr="00A563EE" w:rsidRDefault="00A563EE" w:rsidP="00A563EE">
      <w:pPr>
        <w:pStyle w:val="a7"/>
        <w:numPr>
          <w:ilvl w:val="0"/>
          <w:numId w:val="2"/>
        </w:numPr>
        <w:tabs>
          <w:tab w:val="left" w:pos="1134"/>
        </w:tabs>
        <w:spacing w:after="0" w:line="240" w:lineRule="auto"/>
        <w:ind w:left="0" w:firstLine="709"/>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виконує інші функції, відповідно до покладених на Відділ завдань.</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lastRenderedPageBreak/>
        <w:t>7. Відділ для виконання покладених на нього завдань має право:</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1) отримувати від структурних підрозділів Координаційного центру, регіональних центрів та місцевих центрів документи та інформацію, необхідні для виконання покладених на нього завдань;</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3) надавати роз’яснення з питань, що належать до компетенції Відділу;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4) отримувати матеріально-технічне забезпечення, необхідне для належної роботи Відділу;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або інформацію, необхідні для виконання покладених на нього завдань;</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7) ініціювати проведення нарад та обговорення питань, що належать до компетенції Відділу;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8) брати участь в опрацюванні проектів нормативно-правових актів з питань безоплатної правової допомоги в межах компетенції Відділу;</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9) надавати керівництву регіонального центру пропозиції щодо: визначення структури Відділу, його чисельності, поліпшення діяльності Відділу та його взаємодії з структурними підрозділами регіонального та місцевих центрів.</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8. Працівники Відділу зобов’язані:</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1) запобігати порушенням вимог антикорупційного законодавства;</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2) дотримуватись трудової дисципліни;</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3) вчасно та якісно виконувати покладені на Відділ завдання;</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4) однаково шанобливо, толерантно, з повагою ставитись до всіх осіб, які звертаються до центрів з надання безоплатної вторинної правової допомоги для отримання допомоги або з інших питань;</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5) підтримувати партнерські стосунки з адвокатами, які надають безоплатну вторинну правову допомогу, дотримуватись принципу незалежності та конфіденційності адвокатської діяльності, не допускати втручання у професійну діяльність адвоката;</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6) забезпечувати дотримання бюджетного законодавства при взятті бюджетних зобов'язань, своєчасно подавати на реєстрацію до органів Казначейства такі зобов’язання, здійснювати пла</w:t>
      </w:r>
      <w:r>
        <w:rPr>
          <w:rFonts w:ascii="Times New Roman" w:eastAsiaTheme="minorEastAsia" w:hAnsi="Times New Roman" w:cs="Times New Roman"/>
          <w:sz w:val="28"/>
          <w:szCs w:val="28"/>
          <w:lang w:eastAsia="uk-UA"/>
        </w:rPr>
        <w:t>тежі відповідно до взятих зобов</w:t>
      </w:r>
      <w:r w:rsidRPr="00A563EE">
        <w:rPr>
          <w:rFonts w:ascii="Times New Roman" w:eastAsiaTheme="minorEastAsia" w:hAnsi="Times New Roman" w:cs="Times New Roman"/>
          <w:sz w:val="28"/>
          <w:szCs w:val="28"/>
          <w:lang w:eastAsia="uk-UA"/>
        </w:rPr>
        <w:t>’язань, достовірно та у повному обсязі відображати операції у бухгалтерському обліку та фінансовій звітності;</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lastRenderedPageBreak/>
        <w:t>7) відображати у документах достовірну та повну інформацію про господарські операції і результати діяльності для оперативного управління бюджетними призначеннями (асигнуваннями), фінансовими та матеріальними (нематеріальними) ресурсами.</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p>
    <w:p w:rsidR="00A563EE" w:rsidRPr="00A563EE" w:rsidRDefault="00A563EE" w:rsidP="00A563EE">
      <w:pPr>
        <w:spacing w:after="0" w:line="240" w:lineRule="auto"/>
        <w:ind w:firstLine="720"/>
        <w:jc w:val="center"/>
        <w:rPr>
          <w:rFonts w:ascii="Times New Roman" w:eastAsiaTheme="minorEastAsia" w:hAnsi="Times New Roman" w:cs="Times New Roman"/>
          <w:sz w:val="28"/>
          <w:szCs w:val="28"/>
          <w:lang w:eastAsia="uk-UA"/>
        </w:rPr>
      </w:pPr>
      <w:r w:rsidRPr="00A563EE">
        <w:rPr>
          <w:rFonts w:ascii="Times New Roman" w:eastAsiaTheme="minorEastAsia" w:hAnsi="Times New Roman" w:cs="Times New Roman"/>
          <w:sz w:val="28"/>
          <w:szCs w:val="28"/>
          <w:lang w:eastAsia="uk-UA"/>
        </w:rPr>
        <w:t>______________________</w:t>
      </w:r>
    </w:p>
    <w:p w:rsidR="00A563EE" w:rsidRPr="00A563EE" w:rsidRDefault="00A563EE" w:rsidP="00A563EE">
      <w:pPr>
        <w:spacing w:after="0" w:line="240" w:lineRule="auto"/>
        <w:ind w:firstLine="720"/>
        <w:jc w:val="both"/>
        <w:rPr>
          <w:rFonts w:ascii="Times New Roman" w:eastAsiaTheme="minorEastAsia" w:hAnsi="Times New Roman" w:cs="Times New Roman"/>
          <w:sz w:val="28"/>
          <w:szCs w:val="28"/>
          <w:lang w:eastAsia="uk-UA"/>
        </w:rPr>
      </w:pPr>
    </w:p>
    <w:p w:rsidR="00627416" w:rsidRDefault="00627416" w:rsidP="00A563EE">
      <w:pPr>
        <w:spacing w:after="0" w:line="240" w:lineRule="auto"/>
        <w:ind w:firstLine="720"/>
        <w:jc w:val="both"/>
      </w:pPr>
    </w:p>
    <w:sectPr w:rsidR="00627416" w:rsidSect="001E1CE8">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FB" w:rsidRDefault="00D54AFB">
      <w:pPr>
        <w:spacing w:after="0" w:line="240" w:lineRule="auto"/>
      </w:pPr>
      <w:r>
        <w:separator/>
      </w:r>
    </w:p>
  </w:endnote>
  <w:endnote w:type="continuationSeparator" w:id="0">
    <w:p w:rsidR="00D54AFB" w:rsidRDefault="00D5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E8" w:rsidRDefault="00D54AFB">
    <w:pPr>
      <w:pStyle w:val="a5"/>
      <w:jc w:val="center"/>
    </w:pPr>
  </w:p>
  <w:p w:rsidR="001E1CE8" w:rsidRDefault="00D54A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FB" w:rsidRDefault="00D54AFB">
      <w:pPr>
        <w:spacing w:after="0" w:line="240" w:lineRule="auto"/>
      </w:pPr>
      <w:r>
        <w:separator/>
      </w:r>
    </w:p>
  </w:footnote>
  <w:footnote w:type="continuationSeparator" w:id="0">
    <w:p w:rsidR="00D54AFB" w:rsidRDefault="00D54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919439"/>
      <w:docPartObj>
        <w:docPartGallery w:val="Page Numbers (Top of Page)"/>
        <w:docPartUnique/>
      </w:docPartObj>
    </w:sdtPr>
    <w:sdtEndPr/>
    <w:sdtContent>
      <w:p w:rsidR="001E1CE8" w:rsidRDefault="00506A37" w:rsidP="001E1CE8">
        <w:pPr>
          <w:pStyle w:val="a3"/>
          <w:tabs>
            <w:tab w:val="left" w:pos="4533"/>
          </w:tabs>
        </w:pPr>
        <w:r>
          <w:tab/>
        </w:r>
        <w:r>
          <w:tab/>
        </w:r>
        <w:r>
          <w:fldChar w:fldCharType="begin"/>
        </w:r>
        <w:r>
          <w:instrText>PAGE   \* MERGEFORMAT</w:instrText>
        </w:r>
        <w:r>
          <w:fldChar w:fldCharType="separate"/>
        </w:r>
        <w:r w:rsidR="00115B2C">
          <w:rPr>
            <w:noProof/>
          </w:rPr>
          <w:t>2</w:t>
        </w:r>
        <w:r>
          <w:fldChar w:fldCharType="end"/>
        </w:r>
      </w:p>
    </w:sdtContent>
  </w:sdt>
  <w:p w:rsidR="001E1CE8" w:rsidRDefault="00D54A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145DF"/>
    <w:multiLevelType w:val="hybridMultilevel"/>
    <w:tmpl w:val="8ACAD1B6"/>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nsid w:val="5000543F"/>
    <w:multiLevelType w:val="hybridMultilevel"/>
    <w:tmpl w:val="83467CCA"/>
    <w:lvl w:ilvl="0" w:tplc="04220011">
      <w:start w:val="1"/>
      <w:numFmt w:val="decimal"/>
      <w:lvlText w:val="%1)"/>
      <w:lvlJc w:val="left"/>
      <w:pPr>
        <w:ind w:left="3338"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CD"/>
    <w:rsid w:val="00115B2C"/>
    <w:rsid w:val="00506A37"/>
    <w:rsid w:val="00627416"/>
    <w:rsid w:val="007743CD"/>
    <w:rsid w:val="00A563EE"/>
    <w:rsid w:val="00D54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EE"/>
    <w:pPr>
      <w:tabs>
        <w:tab w:val="center" w:pos="4677"/>
        <w:tab w:val="right" w:pos="9355"/>
      </w:tabs>
      <w:spacing w:after="0" w:line="240" w:lineRule="auto"/>
    </w:pPr>
    <w:rPr>
      <w:rFonts w:ascii="Times New Roman" w:eastAsiaTheme="minorEastAsia" w:hAnsi="Times New Roman" w:cs="Times New Roman"/>
      <w:sz w:val="24"/>
      <w:szCs w:val="24"/>
      <w:lang w:eastAsia="uk-UA"/>
    </w:rPr>
  </w:style>
  <w:style w:type="character" w:customStyle="1" w:styleId="a4">
    <w:name w:val="Верхній колонтитул Знак"/>
    <w:basedOn w:val="a0"/>
    <w:link w:val="a3"/>
    <w:uiPriority w:val="99"/>
    <w:rsid w:val="00A563EE"/>
    <w:rPr>
      <w:rFonts w:ascii="Times New Roman" w:eastAsiaTheme="minorEastAsia" w:hAnsi="Times New Roman" w:cs="Times New Roman"/>
      <w:sz w:val="24"/>
      <w:szCs w:val="24"/>
      <w:lang w:eastAsia="uk-UA"/>
    </w:rPr>
  </w:style>
  <w:style w:type="paragraph" w:styleId="a5">
    <w:name w:val="footer"/>
    <w:basedOn w:val="a"/>
    <w:link w:val="a6"/>
    <w:uiPriority w:val="99"/>
    <w:unhideWhenUsed/>
    <w:rsid w:val="00A563EE"/>
    <w:pPr>
      <w:tabs>
        <w:tab w:val="center" w:pos="4677"/>
        <w:tab w:val="right" w:pos="9355"/>
      </w:tabs>
      <w:spacing w:after="0" w:line="240" w:lineRule="auto"/>
    </w:pPr>
    <w:rPr>
      <w:rFonts w:ascii="Times New Roman" w:eastAsiaTheme="minorEastAsia" w:hAnsi="Times New Roman" w:cs="Times New Roman"/>
      <w:sz w:val="24"/>
      <w:szCs w:val="24"/>
      <w:lang w:eastAsia="uk-UA"/>
    </w:rPr>
  </w:style>
  <w:style w:type="character" w:customStyle="1" w:styleId="a6">
    <w:name w:val="Нижній колонтитул Знак"/>
    <w:basedOn w:val="a0"/>
    <w:link w:val="a5"/>
    <w:uiPriority w:val="99"/>
    <w:rsid w:val="00A563EE"/>
    <w:rPr>
      <w:rFonts w:ascii="Times New Roman" w:eastAsiaTheme="minorEastAsia" w:hAnsi="Times New Roman" w:cs="Times New Roman"/>
      <w:sz w:val="24"/>
      <w:szCs w:val="24"/>
      <w:lang w:eastAsia="uk-UA"/>
    </w:rPr>
  </w:style>
  <w:style w:type="paragraph" w:styleId="a7">
    <w:name w:val="List Paragraph"/>
    <w:basedOn w:val="a"/>
    <w:uiPriority w:val="34"/>
    <w:qFormat/>
    <w:rsid w:val="00A563EE"/>
    <w:pPr>
      <w:ind w:left="720"/>
      <w:contextualSpacing/>
    </w:pPr>
  </w:style>
  <w:style w:type="paragraph" w:styleId="a8">
    <w:name w:val="Balloon Text"/>
    <w:basedOn w:val="a"/>
    <w:link w:val="a9"/>
    <w:uiPriority w:val="99"/>
    <w:semiHidden/>
    <w:unhideWhenUsed/>
    <w:rsid w:val="00115B2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15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EE"/>
    <w:pPr>
      <w:tabs>
        <w:tab w:val="center" w:pos="4677"/>
        <w:tab w:val="right" w:pos="9355"/>
      </w:tabs>
      <w:spacing w:after="0" w:line="240" w:lineRule="auto"/>
    </w:pPr>
    <w:rPr>
      <w:rFonts w:ascii="Times New Roman" w:eastAsiaTheme="minorEastAsia" w:hAnsi="Times New Roman" w:cs="Times New Roman"/>
      <w:sz w:val="24"/>
      <w:szCs w:val="24"/>
      <w:lang w:eastAsia="uk-UA"/>
    </w:rPr>
  </w:style>
  <w:style w:type="character" w:customStyle="1" w:styleId="a4">
    <w:name w:val="Верхній колонтитул Знак"/>
    <w:basedOn w:val="a0"/>
    <w:link w:val="a3"/>
    <w:uiPriority w:val="99"/>
    <w:rsid w:val="00A563EE"/>
    <w:rPr>
      <w:rFonts w:ascii="Times New Roman" w:eastAsiaTheme="minorEastAsia" w:hAnsi="Times New Roman" w:cs="Times New Roman"/>
      <w:sz w:val="24"/>
      <w:szCs w:val="24"/>
      <w:lang w:eastAsia="uk-UA"/>
    </w:rPr>
  </w:style>
  <w:style w:type="paragraph" w:styleId="a5">
    <w:name w:val="footer"/>
    <w:basedOn w:val="a"/>
    <w:link w:val="a6"/>
    <w:uiPriority w:val="99"/>
    <w:unhideWhenUsed/>
    <w:rsid w:val="00A563EE"/>
    <w:pPr>
      <w:tabs>
        <w:tab w:val="center" w:pos="4677"/>
        <w:tab w:val="right" w:pos="9355"/>
      </w:tabs>
      <w:spacing w:after="0" w:line="240" w:lineRule="auto"/>
    </w:pPr>
    <w:rPr>
      <w:rFonts w:ascii="Times New Roman" w:eastAsiaTheme="minorEastAsia" w:hAnsi="Times New Roman" w:cs="Times New Roman"/>
      <w:sz w:val="24"/>
      <w:szCs w:val="24"/>
      <w:lang w:eastAsia="uk-UA"/>
    </w:rPr>
  </w:style>
  <w:style w:type="character" w:customStyle="1" w:styleId="a6">
    <w:name w:val="Нижній колонтитул Знак"/>
    <w:basedOn w:val="a0"/>
    <w:link w:val="a5"/>
    <w:uiPriority w:val="99"/>
    <w:rsid w:val="00A563EE"/>
    <w:rPr>
      <w:rFonts w:ascii="Times New Roman" w:eastAsiaTheme="minorEastAsia" w:hAnsi="Times New Roman" w:cs="Times New Roman"/>
      <w:sz w:val="24"/>
      <w:szCs w:val="24"/>
      <w:lang w:eastAsia="uk-UA"/>
    </w:rPr>
  </w:style>
  <w:style w:type="paragraph" w:styleId="a7">
    <w:name w:val="List Paragraph"/>
    <w:basedOn w:val="a"/>
    <w:uiPriority w:val="34"/>
    <w:qFormat/>
    <w:rsid w:val="00A563EE"/>
    <w:pPr>
      <w:ind w:left="720"/>
      <w:contextualSpacing/>
    </w:pPr>
  </w:style>
  <w:style w:type="paragraph" w:styleId="a8">
    <w:name w:val="Balloon Text"/>
    <w:basedOn w:val="a"/>
    <w:link w:val="a9"/>
    <w:uiPriority w:val="99"/>
    <w:semiHidden/>
    <w:unhideWhenUsed/>
    <w:rsid w:val="00115B2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15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6575</Words>
  <Characters>3749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Світлана</dc:creator>
  <cp:keywords/>
  <dc:description/>
  <cp:lastModifiedBy>КОВТУН Світлана</cp:lastModifiedBy>
  <cp:revision>3</cp:revision>
  <cp:lastPrinted>2019-03-26T13:00:00Z</cp:lastPrinted>
  <dcterms:created xsi:type="dcterms:W3CDTF">2019-03-26T12:25:00Z</dcterms:created>
  <dcterms:modified xsi:type="dcterms:W3CDTF">2019-03-26T13:01:00Z</dcterms:modified>
</cp:coreProperties>
</file>